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47C45" w14:textId="7440508C" w:rsidR="00EA4699" w:rsidRPr="008C7078" w:rsidRDefault="008C7078" w:rsidP="008C7078">
      <w:pPr>
        <w:jc w:val="center"/>
        <w:rPr>
          <w:b/>
          <w:sz w:val="28"/>
          <w:szCs w:val="28"/>
        </w:rPr>
      </w:pPr>
      <w:r w:rsidRPr="008C7078">
        <w:rPr>
          <w:b/>
          <w:sz w:val="28"/>
          <w:szCs w:val="28"/>
        </w:rPr>
        <w:t>Vokabulář k</w:t>
      </w:r>
      <w:r w:rsidR="00273BC1">
        <w:rPr>
          <w:b/>
          <w:sz w:val="28"/>
          <w:szCs w:val="28"/>
        </w:rPr>
        <w:t> 7.-</w:t>
      </w:r>
      <w:r w:rsidRPr="008C7078">
        <w:rPr>
          <w:b/>
          <w:sz w:val="28"/>
          <w:szCs w:val="28"/>
        </w:rPr>
        <w:t xml:space="preserve"> 9. tematickému okruhu</w:t>
      </w:r>
    </w:p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097"/>
        <w:gridCol w:w="6915"/>
      </w:tblGrid>
      <w:tr w:rsidR="0038366C" w14:paraId="37D60321" w14:textId="77777777" w:rsidTr="00273BC1">
        <w:tc>
          <w:tcPr>
            <w:tcW w:w="2097" w:type="dxa"/>
            <w:tcBorders>
              <w:top w:val="single" w:sz="24" w:space="0" w:color="auto"/>
              <w:bottom w:val="thinThickSmallGap" w:sz="18" w:space="0" w:color="auto"/>
            </w:tcBorders>
          </w:tcPr>
          <w:p w14:paraId="6F502440" w14:textId="47CC9DDD" w:rsidR="0038366C" w:rsidRPr="00DC280E" w:rsidRDefault="0038366C" w:rsidP="0038366C">
            <w:pPr>
              <w:jc w:val="center"/>
              <w:rPr>
                <w:b/>
              </w:rPr>
            </w:pPr>
            <w:r w:rsidRPr="00DC280E">
              <w:rPr>
                <w:b/>
              </w:rPr>
              <w:t>Termín</w:t>
            </w:r>
          </w:p>
        </w:tc>
        <w:tc>
          <w:tcPr>
            <w:tcW w:w="6915" w:type="dxa"/>
            <w:tcBorders>
              <w:top w:val="single" w:sz="24" w:space="0" w:color="auto"/>
              <w:bottom w:val="thinThickSmallGap" w:sz="18" w:space="0" w:color="auto"/>
            </w:tcBorders>
          </w:tcPr>
          <w:p w14:paraId="708BA215" w14:textId="2AD6A269" w:rsidR="0038366C" w:rsidRPr="00DC280E" w:rsidRDefault="0038366C" w:rsidP="0038366C">
            <w:pPr>
              <w:jc w:val="center"/>
              <w:rPr>
                <w:b/>
              </w:rPr>
            </w:pPr>
            <w:r w:rsidRPr="00DC280E">
              <w:rPr>
                <w:b/>
              </w:rPr>
              <w:t>Význam</w:t>
            </w:r>
          </w:p>
        </w:tc>
      </w:tr>
      <w:tr w:rsidR="00273BC1" w14:paraId="1F29E46D" w14:textId="77777777" w:rsidTr="00273BC1">
        <w:tc>
          <w:tcPr>
            <w:tcW w:w="2097" w:type="dxa"/>
            <w:tcBorders>
              <w:top w:val="thinThickSmallGap" w:sz="18" w:space="0" w:color="auto"/>
              <w:bottom w:val="single" w:sz="4" w:space="0" w:color="auto"/>
            </w:tcBorders>
          </w:tcPr>
          <w:p w14:paraId="1E0935EF" w14:textId="77777777" w:rsidR="00273BC1" w:rsidRPr="00DC280E" w:rsidRDefault="00273BC1">
            <w:pPr>
              <w:rPr>
                <w:b/>
              </w:rPr>
            </w:pPr>
          </w:p>
        </w:tc>
        <w:tc>
          <w:tcPr>
            <w:tcW w:w="6915" w:type="dxa"/>
            <w:tcBorders>
              <w:top w:val="thinThickSmallGap" w:sz="18" w:space="0" w:color="auto"/>
              <w:bottom w:val="single" w:sz="4" w:space="0" w:color="auto"/>
            </w:tcBorders>
          </w:tcPr>
          <w:p w14:paraId="6266DC9A" w14:textId="77777777" w:rsidR="00273BC1" w:rsidRPr="0036153A" w:rsidRDefault="00273BC1">
            <w:pPr>
              <w:rPr>
                <w:i/>
                <w:sz w:val="20"/>
                <w:szCs w:val="20"/>
              </w:rPr>
            </w:pPr>
          </w:p>
        </w:tc>
      </w:tr>
      <w:tr w:rsidR="00273BC1" w14:paraId="016AC572" w14:textId="77777777" w:rsidTr="00273BC1"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44B5008A" w14:textId="04BD4375" w:rsidR="00273BC1" w:rsidRPr="00DC280E" w:rsidRDefault="00273BC1">
            <w:pPr>
              <w:rPr>
                <w:b/>
              </w:rPr>
            </w:pPr>
            <w:r>
              <w:rPr>
                <w:b/>
              </w:rPr>
              <w:t>akant</w:t>
            </w:r>
          </w:p>
        </w:tc>
        <w:tc>
          <w:tcPr>
            <w:tcW w:w="6915" w:type="dxa"/>
            <w:tcBorders>
              <w:top w:val="single" w:sz="4" w:space="0" w:color="auto"/>
              <w:bottom w:val="single" w:sz="4" w:space="0" w:color="auto"/>
            </w:tcBorders>
          </w:tcPr>
          <w:p w14:paraId="6EE279E2" w14:textId="0E55A7B6" w:rsidR="00273BC1" w:rsidRPr="0036153A" w:rsidRDefault="00273BC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rostlina (botanický výraz). Akantová výzdoba=výzdoba rostlinnými motivy.</w:t>
            </w:r>
          </w:p>
        </w:tc>
      </w:tr>
      <w:tr w:rsidR="00261B17" w14:paraId="55F4EA20" w14:textId="77777777" w:rsidTr="00273BC1"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193446DA" w14:textId="1A8F0D0D" w:rsidR="00261B17" w:rsidRDefault="00D630BF">
            <w:pPr>
              <w:rPr>
                <w:b/>
              </w:rPr>
            </w:pPr>
            <w:proofErr w:type="spellStart"/>
            <w:r>
              <w:rPr>
                <w:b/>
              </w:rPr>
              <w:t>b</w:t>
            </w:r>
            <w:r w:rsidR="00261B17">
              <w:rPr>
                <w:b/>
              </w:rPr>
              <w:t>inio</w:t>
            </w:r>
            <w:proofErr w:type="spellEnd"/>
            <w:r>
              <w:rPr>
                <w:b/>
              </w:rPr>
              <w:t xml:space="preserve"> … </w:t>
            </w:r>
            <w:proofErr w:type="spellStart"/>
            <w:r>
              <w:rPr>
                <w:b/>
              </w:rPr>
              <w:t>trinio</w:t>
            </w:r>
            <w:proofErr w:type="spellEnd"/>
          </w:p>
        </w:tc>
        <w:tc>
          <w:tcPr>
            <w:tcW w:w="6915" w:type="dxa"/>
            <w:tcBorders>
              <w:top w:val="single" w:sz="4" w:space="0" w:color="auto"/>
              <w:bottom w:val="single" w:sz="4" w:space="0" w:color="auto"/>
            </w:tcBorders>
          </w:tcPr>
          <w:p w14:paraId="058EE507" w14:textId="5184AF7E" w:rsidR="00261B17" w:rsidRDefault="00261B1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Označení pro </w:t>
            </w:r>
            <w:r w:rsidR="00D630BF">
              <w:rPr>
                <w:i/>
                <w:sz w:val="20"/>
                <w:szCs w:val="20"/>
              </w:rPr>
              <w:t xml:space="preserve">velikost pergamenového listu. </w:t>
            </w:r>
            <w:proofErr w:type="spellStart"/>
            <w:r w:rsidR="00D630BF">
              <w:rPr>
                <w:i/>
                <w:sz w:val="20"/>
                <w:szCs w:val="20"/>
              </w:rPr>
              <w:t>Binio</w:t>
            </w:r>
            <w:proofErr w:type="spellEnd"/>
            <w:r w:rsidR="00D630BF">
              <w:rPr>
                <w:i/>
                <w:sz w:val="20"/>
                <w:szCs w:val="20"/>
              </w:rPr>
              <w:t xml:space="preserve"> vzniká jednoduchým přeložením základního rozměru pergamenu, </w:t>
            </w:r>
            <w:proofErr w:type="spellStart"/>
            <w:r w:rsidR="00D630BF">
              <w:rPr>
                <w:i/>
                <w:sz w:val="20"/>
                <w:szCs w:val="20"/>
              </w:rPr>
              <w:t>trinio</w:t>
            </w:r>
            <w:proofErr w:type="spellEnd"/>
            <w:r w:rsidR="00D630BF">
              <w:rPr>
                <w:i/>
                <w:sz w:val="20"/>
                <w:szCs w:val="20"/>
              </w:rPr>
              <w:t xml:space="preserve"> třínásobným přeložením, </w:t>
            </w:r>
            <w:proofErr w:type="spellStart"/>
            <w:r w:rsidR="00D630BF">
              <w:rPr>
                <w:i/>
                <w:sz w:val="20"/>
                <w:szCs w:val="20"/>
              </w:rPr>
              <w:t>kvatern</w:t>
            </w:r>
            <w:proofErr w:type="spellEnd"/>
            <w:r w:rsidR="00D630BF">
              <w:rPr>
                <w:i/>
                <w:sz w:val="20"/>
                <w:szCs w:val="20"/>
              </w:rPr>
              <w:t xml:space="preserve"> čtyřnásobným přeložením atd. </w:t>
            </w:r>
          </w:p>
        </w:tc>
      </w:tr>
      <w:tr w:rsidR="008F1ED1" w14:paraId="42636E5D" w14:textId="77777777" w:rsidTr="00273BC1"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4A4D7AD8" w14:textId="548C1B3E" w:rsidR="008F1ED1" w:rsidRDefault="00772C96">
            <w:pPr>
              <w:rPr>
                <w:b/>
              </w:rPr>
            </w:pPr>
            <w:r>
              <w:rPr>
                <w:b/>
              </w:rPr>
              <w:t>bordura</w:t>
            </w:r>
          </w:p>
        </w:tc>
        <w:tc>
          <w:tcPr>
            <w:tcW w:w="6915" w:type="dxa"/>
            <w:tcBorders>
              <w:top w:val="single" w:sz="4" w:space="0" w:color="auto"/>
              <w:bottom w:val="single" w:sz="4" w:space="0" w:color="auto"/>
            </w:tcBorders>
          </w:tcPr>
          <w:p w14:paraId="196E9554" w14:textId="55C13A94" w:rsidR="008F1ED1" w:rsidRDefault="00772C9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Termín označující lem, ozdobný okraj iluminací, nástěnných maleb apod.</w:t>
            </w:r>
          </w:p>
        </w:tc>
      </w:tr>
      <w:tr w:rsidR="00273BC1" w14:paraId="43452C87" w14:textId="77777777" w:rsidTr="00273BC1"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424020BB" w14:textId="04577DAF" w:rsidR="00273BC1" w:rsidRDefault="00273BC1">
            <w:pPr>
              <w:rPr>
                <w:b/>
              </w:rPr>
            </w:pPr>
            <w:proofErr w:type="spellStart"/>
            <w:r>
              <w:rPr>
                <w:b/>
              </w:rPr>
              <w:t>codex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mixtus</w:t>
            </w:r>
            <w:proofErr w:type="spellEnd"/>
          </w:p>
        </w:tc>
        <w:tc>
          <w:tcPr>
            <w:tcW w:w="6915" w:type="dxa"/>
            <w:tcBorders>
              <w:top w:val="single" w:sz="4" w:space="0" w:color="auto"/>
              <w:bottom w:val="single" w:sz="4" w:space="0" w:color="auto"/>
            </w:tcBorders>
          </w:tcPr>
          <w:p w14:paraId="31346CF8" w14:textId="453F0101" w:rsidR="00273BC1" w:rsidRDefault="00273BC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označení pro sborník smíšeného obsahu. Např. sborník obsahující texty právnické, astronomické, kalendář, sbírku kázání apod. V hudební praxi označení pro sborník obsahující repertoár různého funkčního zaměření. Např. </w:t>
            </w:r>
            <w:proofErr w:type="spellStart"/>
            <w:r>
              <w:rPr>
                <w:i/>
                <w:sz w:val="20"/>
                <w:szCs w:val="20"/>
              </w:rPr>
              <w:t>JistK</w:t>
            </w:r>
            <w:proofErr w:type="spellEnd"/>
            <w:r>
              <w:rPr>
                <w:i/>
                <w:sz w:val="20"/>
                <w:szCs w:val="20"/>
              </w:rPr>
              <w:t>, který má část graduální, antifonální a kancionálovou.</w:t>
            </w:r>
          </w:p>
        </w:tc>
      </w:tr>
      <w:tr w:rsidR="0038366C" w14:paraId="752CD592" w14:textId="77777777" w:rsidTr="00273BC1">
        <w:tc>
          <w:tcPr>
            <w:tcW w:w="2097" w:type="dxa"/>
            <w:tcBorders>
              <w:top w:val="single" w:sz="4" w:space="0" w:color="auto"/>
            </w:tcBorders>
          </w:tcPr>
          <w:p w14:paraId="2842DA70" w14:textId="232E89EA" w:rsidR="0038366C" w:rsidRPr="00DC280E" w:rsidRDefault="00867B1A">
            <w:pPr>
              <w:rPr>
                <w:b/>
              </w:rPr>
            </w:pPr>
            <w:r w:rsidRPr="00DC280E">
              <w:rPr>
                <w:b/>
              </w:rPr>
              <w:t>dotažnice</w:t>
            </w:r>
          </w:p>
        </w:tc>
        <w:tc>
          <w:tcPr>
            <w:tcW w:w="6915" w:type="dxa"/>
            <w:tcBorders>
              <w:top w:val="single" w:sz="4" w:space="0" w:color="auto"/>
            </w:tcBorders>
          </w:tcPr>
          <w:p w14:paraId="27C2BF2C" w14:textId="312B7650" w:rsidR="0038366C" w:rsidRPr="0036153A" w:rsidRDefault="00BB1926">
            <w:pPr>
              <w:rPr>
                <w:i/>
                <w:sz w:val="20"/>
                <w:szCs w:val="20"/>
              </w:rPr>
            </w:pPr>
            <w:r w:rsidRPr="0036153A">
              <w:rPr>
                <w:i/>
                <w:sz w:val="20"/>
                <w:szCs w:val="20"/>
              </w:rPr>
              <w:t>o</w:t>
            </w:r>
            <w:r w:rsidR="00990E1D" w:rsidRPr="0036153A">
              <w:rPr>
                <w:i/>
                <w:sz w:val="20"/>
                <w:szCs w:val="20"/>
              </w:rPr>
              <w:t xml:space="preserve">značení pro horní a </w:t>
            </w:r>
            <w:r w:rsidR="00291171" w:rsidRPr="0036153A">
              <w:rPr>
                <w:i/>
                <w:sz w:val="20"/>
                <w:szCs w:val="20"/>
              </w:rPr>
              <w:t>spodní linku v psací osnově</w:t>
            </w:r>
            <w:r w:rsidR="004C73CB" w:rsidRPr="0036153A">
              <w:rPr>
                <w:i/>
                <w:sz w:val="20"/>
                <w:szCs w:val="20"/>
              </w:rPr>
              <w:t xml:space="preserve">, </w:t>
            </w:r>
            <w:r w:rsidRPr="0036153A">
              <w:rPr>
                <w:i/>
                <w:sz w:val="20"/>
                <w:szCs w:val="20"/>
              </w:rPr>
              <w:t>které představují hranici pro ozdobné zakončení tahu (duktu) písmene (dotažení písmene)</w:t>
            </w:r>
          </w:p>
        </w:tc>
      </w:tr>
      <w:tr w:rsidR="0038366C" w14:paraId="15365DC0" w14:textId="77777777" w:rsidTr="00752415">
        <w:tc>
          <w:tcPr>
            <w:tcW w:w="2097" w:type="dxa"/>
          </w:tcPr>
          <w:p w14:paraId="540A3308" w14:textId="47090BA5" w:rsidR="0038366C" w:rsidRPr="00DC280E" w:rsidRDefault="00867B1A">
            <w:pPr>
              <w:rPr>
                <w:b/>
              </w:rPr>
            </w:pPr>
            <w:r w:rsidRPr="00DC280E">
              <w:rPr>
                <w:b/>
              </w:rPr>
              <w:t>dřík</w:t>
            </w:r>
          </w:p>
        </w:tc>
        <w:tc>
          <w:tcPr>
            <w:tcW w:w="6915" w:type="dxa"/>
          </w:tcPr>
          <w:p w14:paraId="26549073" w14:textId="6B66B619" w:rsidR="0038366C" w:rsidRPr="0036153A" w:rsidRDefault="00990E1D">
            <w:pPr>
              <w:rPr>
                <w:i/>
                <w:sz w:val="20"/>
                <w:szCs w:val="20"/>
              </w:rPr>
            </w:pPr>
            <w:r w:rsidRPr="0036153A">
              <w:rPr>
                <w:i/>
                <w:sz w:val="20"/>
                <w:szCs w:val="20"/>
              </w:rPr>
              <w:t>trup, hlavní nosná část písmene</w:t>
            </w:r>
            <w:r w:rsidR="00291171" w:rsidRPr="0036153A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38366C" w14:paraId="0E8DC266" w14:textId="77777777" w:rsidTr="00752415">
        <w:tc>
          <w:tcPr>
            <w:tcW w:w="2097" w:type="dxa"/>
          </w:tcPr>
          <w:p w14:paraId="61B75DA6" w14:textId="35DB7D4F" w:rsidR="0038366C" w:rsidRPr="00DC280E" w:rsidRDefault="00867B1A">
            <w:pPr>
              <w:rPr>
                <w:b/>
              </w:rPr>
            </w:pPr>
            <w:r w:rsidRPr="00DC280E">
              <w:rPr>
                <w:b/>
              </w:rPr>
              <w:t>duktus</w:t>
            </w:r>
          </w:p>
        </w:tc>
        <w:tc>
          <w:tcPr>
            <w:tcW w:w="6915" w:type="dxa"/>
          </w:tcPr>
          <w:p w14:paraId="52908D68" w14:textId="1B2065A5" w:rsidR="0038366C" w:rsidRPr="0036153A" w:rsidRDefault="0036153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Termín označují způsob psaní jednotlivých písmen (lat.=</w:t>
            </w:r>
            <w:proofErr w:type="spellStart"/>
            <w:r>
              <w:rPr>
                <w:i/>
                <w:sz w:val="20"/>
                <w:szCs w:val="20"/>
              </w:rPr>
              <w:t>duco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ducere:vésti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, vléci) – označuje tedy způsob vedení péra.</w:t>
            </w:r>
          </w:p>
        </w:tc>
      </w:tr>
      <w:tr w:rsidR="00273BC1" w14:paraId="66792004" w14:textId="77777777" w:rsidTr="00752415">
        <w:tc>
          <w:tcPr>
            <w:tcW w:w="2097" w:type="dxa"/>
          </w:tcPr>
          <w:p w14:paraId="1F4E2F8F" w14:textId="1D712343" w:rsidR="00273BC1" w:rsidRPr="00DC280E" w:rsidRDefault="00273BC1">
            <w:pPr>
              <w:rPr>
                <w:b/>
              </w:rPr>
            </w:pPr>
            <w:r>
              <w:rPr>
                <w:b/>
              </w:rPr>
              <w:t>explicit</w:t>
            </w:r>
          </w:p>
        </w:tc>
        <w:tc>
          <w:tcPr>
            <w:tcW w:w="6915" w:type="dxa"/>
          </w:tcPr>
          <w:p w14:paraId="15833AF2" w14:textId="5C201500" w:rsidR="00273BC1" w:rsidRDefault="00273BC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Označení pro závěr hudebního nebo slovního textu.</w:t>
            </w:r>
          </w:p>
        </w:tc>
      </w:tr>
      <w:tr w:rsidR="00273BC1" w14:paraId="729C1D75" w14:textId="77777777" w:rsidTr="00752415">
        <w:tc>
          <w:tcPr>
            <w:tcW w:w="2097" w:type="dxa"/>
          </w:tcPr>
          <w:p w14:paraId="6A4AEDDF" w14:textId="10200356" w:rsidR="00273BC1" w:rsidRDefault="00273BC1">
            <w:pPr>
              <w:rPr>
                <w:b/>
              </w:rPr>
            </w:pPr>
            <w:r>
              <w:rPr>
                <w:b/>
              </w:rPr>
              <w:t>filigrán</w:t>
            </w:r>
          </w:p>
        </w:tc>
        <w:tc>
          <w:tcPr>
            <w:tcW w:w="6915" w:type="dxa"/>
          </w:tcPr>
          <w:p w14:paraId="579462B8" w14:textId="0507F3DA" w:rsidR="00273BC1" w:rsidRDefault="00E315E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Označení pro průsvitnou kresbu (proto také alternativní označení „průsvitka“) vtlačenou do papíru při jeho výrobě. Bývala „firemní“ značkou výrobce a slouží jako relativně spolehlivý nástroj pro určení stáří papíru.</w:t>
            </w:r>
          </w:p>
        </w:tc>
      </w:tr>
      <w:tr w:rsidR="00E315E7" w14:paraId="2B0A00F2" w14:textId="77777777" w:rsidTr="008F7D2B">
        <w:tc>
          <w:tcPr>
            <w:tcW w:w="2097" w:type="dxa"/>
          </w:tcPr>
          <w:p w14:paraId="0A98F688" w14:textId="661DF39E" w:rsidR="00E315E7" w:rsidRDefault="00E315E7">
            <w:pPr>
              <w:rPr>
                <w:b/>
              </w:rPr>
            </w:pPr>
            <w:r>
              <w:rPr>
                <w:b/>
              </w:rPr>
              <w:t>foliace</w:t>
            </w:r>
          </w:p>
        </w:tc>
        <w:tc>
          <w:tcPr>
            <w:tcW w:w="6915" w:type="dxa"/>
            <w:shd w:val="clear" w:color="auto" w:fill="FFFFFF" w:themeFill="background1"/>
          </w:tcPr>
          <w:p w14:paraId="784AA909" w14:textId="4BBAED71" w:rsidR="00E315E7" w:rsidRDefault="008F7D2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Způsob orientačního označování jednotlivých listů (fólií) tvořících celek pramene. </w:t>
            </w:r>
            <w:proofErr w:type="spellStart"/>
            <w:r>
              <w:rPr>
                <w:i/>
                <w:sz w:val="20"/>
                <w:szCs w:val="20"/>
              </w:rPr>
              <w:t>Fólio</w:t>
            </w:r>
            <w:proofErr w:type="spellEnd"/>
            <w:r>
              <w:rPr>
                <w:i/>
                <w:sz w:val="20"/>
                <w:szCs w:val="20"/>
              </w:rPr>
              <w:t xml:space="preserve"> má přední stranu označovanou indexem „r“ (</w:t>
            </w:r>
            <w:proofErr w:type="spellStart"/>
            <w:r>
              <w:rPr>
                <w:i/>
                <w:sz w:val="20"/>
                <w:szCs w:val="20"/>
              </w:rPr>
              <w:t>recto</w:t>
            </w:r>
            <w:proofErr w:type="spellEnd"/>
            <w:r>
              <w:rPr>
                <w:i/>
                <w:sz w:val="20"/>
                <w:szCs w:val="20"/>
              </w:rPr>
              <w:t>) a zadní stranu označovanou indexem „v“ (</w:t>
            </w:r>
            <w:proofErr w:type="spellStart"/>
            <w:r>
              <w:rPr>
                <w:i/>
                <w:sz w:val="20"/>
                <w:szCs w:val="20"/>
              </w:rPr>
              <w:t>verso</w:t>
            </w:r>
            <w:proofErr w:type="spellEnd"/>
            <w:r>
              <w:rPr>
                <w:i/>
                <w:sz w:val="20"/>
                <w:szCs w:val="20"/>
              </w:rPr>
              <w:t xml:space="preserve">). Ve starší literatuře nacházíme také alternativní označování stran-přední strana indexem „a“ a zadní strana indexem „b“. U rukopisů a tisku do 17. stol., které byly vázány po složkách se označení příslušného </w:t>
            </w:r>
            <w:proofErr w:type="spellStart"/>
            <w:r>
              <w:rPr>
                <w:i/>
                <w:sz w:val="20"/>
                <w:szCs w:val="20"/>
              </w:rPr>
              <w:t>fólia</w:t>
            </w:r>
            <w:proofErr w:type="spellEnd"/>
            <w:r>
              <w:rPr>
                <w:i/>
                <w:sz w:val="20"/>
                <w:szCs w:val="20"/>
              </w:rPr>
              <w:t xml:space="preserve"> provádělo pomocí označení pořadí složky písmenem abecedy a římskou č</w:t>
            </w:r>
            <w:r w:rsidR="00225156">
              <w:rPr>
                <w:i/>
                <w:sz w:val="20"/>
                <w:szCs w:val="20"/>
              </w:rPr>
              <w:t>í</w:t>
            </w:r>
            <w:r>
              <w:rPr>
                <w:i/>
                <w:sz w:val="20"/>
                <w:szCs w:val="20"/>
              </w:rPr>
              <w:t>slicí</w:t>
            </w:r>
            <w:r w:rsidR="00225156">
              <w:rPr>
                <w:i/>
                <w:sz w:val="20"/>
                <w:szCs w:val="20"/>
              </w:rPr>
              <w:t xml:space="preserve"> udávající pořadí stránky ve složce - např. A XII.</w:t>
            </w:r>
          </w:p>
          <w:p w14:paraId="0EBF8732" w14:textId="77777777" w:rsidR="00225156" w:rsidRDefault="0022515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Druhý způsob foliace čísloval jednotlivé listy sborníku průběžně a stránky listů označoval indexem – např. </w:t>
            </w:r>
            <w:proofErr w:type="gramStart"/>
            <w:r>
              <w:rPr>
                <w:i/>
                <w:sz w:val="20"/>
                <w:szCs w:val="20"/>
              </w:rPr>
              <w:t>27r</w:t>
            </w:r>
            <w:proofErr w:type="gramEnd"/>
            <w:r>
              <w:rPr>
                <w:i/>
                <w:sz w:val="20"/>
                <w:szCs w:val="20"/>
              </w:rPr>
              <w:t>, 53v apod.</w:t>
            </w:r>
          </w:p>
          <w:p w14:paraId="29368145" w14:textId="7BEDB807" w:rsidR="00225156" w:rsidRDefault="0022515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 aktuální praxi práce s pramenem, např. při popisu nebo při lokaci citací se požaduje indexované označení.</w:t>
            </w:r>
          </w:p>
        </w:tc>
      </w:tr>
      <w:tr w:rsidR="00273BC1" w14:paraId="49B0E044" w14:textId="77777777" w:rsidTr="00752415">
        <w:tc>
          <w:tcPr>
            <w:tcW w:w="2097" w:type="dxa"/>
          </w:tcPr>
          <w:p w14:paraId="52E3D442" w14:textId="1D4CBA87" w:rsidR="00273BC1" w:rsidRPr="00DC280E" w:rsidRDefault="00273BC1">
            <w:pPr>
              <w:rPr>
                <w:b/>
              </w:rPr>
            </w:pPr>
            <w:r>
              <w:rPr>
                <w:b/>
              </w:rPr>
              <w:t>incipit</w:t>
            </w:r>
          </w:p>
        </w:tc>
        <w:tc>
          <w:tcPr>
            <w:tcW w:w="6915" w:type="dxa"/>
          </w:tcPr>
          <w:p w14:paraId="0952D48D" w14:textId="31EB7D98" w:rsidR="00273BC1" w:rsidRDefault="00273BC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Označení pro začátek hudebního nebo slovního textu.</w:t>
            </w:r>
          </w:p>
        </w:tc>
      </w:tr>
      <w:tr w:rsidR="00225156" w14:paraId="7342D920" w14:textId="77777777" w:rsidTr="00752415">
        <w:tc>
          <w:tcPr>
            <w:tcW w:w="2097" w:type="dxa"/>
          </w:tcPr>
          <w:p w14:paraId="7C5006AF" w14:textId="084CA16F" w:rsidR="00225156" w:rsidRDefault="00225156">
            <w:pPr>
              <w:rPr>
                <w:b/>
              </w:rPr>
            </w:pPr>
            <w:r>
              <w:rPr>
                <w:b/>
              </w:rPr>
              <w:t>iniciála</w:t>
            </w:r>
          </w:p>
        </w:tc>
        <w:tc>
          <w:tcPr>
            <w:tcW w:w="6915" w:type="dxa"/>
          </w:tcPr>
          <w:p w14:paraId="251D61EF" w14:textId="7555E7F8" w:rsidR="00225156" w:rsidRDefault="0022515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Počáteční písmeno prvního slova v textu odstavce, liturgického oddílu apod. Zpravidla bývá zvýrazňováno výtvarně.</w:t>
            </w:r>
          </w:p>
        </w:tc>
      </w:tr>
      <w:tr w:rsidR="00225156" w14:paraId="204474C2" w14:textId="77777777" w:rsidTr="00752415">
        <w:tc>
          <w:tcPr>
            <w:tcW w:w="2097" w:type="dxa"/>
          </w:tcPr>
          <w:p w14:paraId="6764A34B" w14:textId="7B74BBB3" w:rsidR="00225156" w:rsidRDefault="00225156">
            <w:pPr>
              <w:rPr>
                <w:b/>
              </w:rPr>
            </w:pPr>
            <w:r>
              <w:rPr>
                <w:b/>
              </w:rPr>
              <w:t>kodikologie</w:t>
            </w:r>
          </w:p>
        </w:tc>
        <w:tc>
          <w:tcPr>
            <w:tcW w:w="6915" w:type="dxa"/>
          </w:tcPr>
          <w:p w14:paraId="1AD95FFF" w14:textId="061D2A64" w:rsidR="00225156" w:rsidRDefault="00D25D0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Označení jedné disciplíny ze souboru pomocných věd historických, jejímž předmětem je rukopisná kniha neúředního charakteru (kodex) ve všech aspektech – historickém, funkčním </w:t>
            </w:r>
            <w:r w:rsidR="00AB1BEA">
              <w:rPr>
                <w:i/>
                <w:sz w:val="20"/>
                <w:szCs w:val="20"/>
              </w:rPr>
              <w:t>a teoretickém a v jejich souvislostech.</w:t>
            </w:r>
          </w:p>
        </w:tc>
      </w:tr>
      <w:tr w:rsidR="00225156" w14:paraId="499C1103" w14:textId="77777777" w:rsidTr="00E53E33">
        <w:tc>
          <w:tcPr>
            <w:tcW w:w="2097" w:type="dxa"/>
          </w:tcPr>
          <w:p w14:paraId="29703650" w14:textId="07F3B19D" w:rsidR="00225156" w:rsidRDefault="00225156">
            <w:pPr>
              <w:rPr>
                <w:b/>
              </w:rPr>
            </w:pPr>
            <w:proofErr w:type="spellStart"/>
            <w:r>
              <w:rPr>
                <w:b/>
              </w:rPr>
              <w:t>kolofón</w:t>
            </w:r>
            <w:proofErr w:type="spellEnd"/>
          </w:p>
        </w:tc>
        <w:tc>
          <w:tcPr>
            <w:tcW w:w="6915" w:type="dxa"/>
            <w:shd w:val="clear" w:color="auto" w:fill="FFFFFF" w:themeFill="background1"/>
          </w:tcPr>
          <w:p w14:paraId="50E057FB" w14:textId="4D17E9EB" w:rsidR="00225156" w:rsidRDefault="00D25D0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Označení pro informace zapsané mimo hlavní text (mimo zrcadlo </w:t>
            </w:r>
            <w:r w:rsidRPr="00D25D0A">
              <w:rPr>
                <w:i/>
                <w:sz w:val="20"/>
                <w:szCs w:val="20"/>
              </w:rPr>
              <w:sym w:font="Wingdings" w:char="F0E0"/>
            </w:r>
            <w:r>
              <w:rPr>
                <w:i/>
                <w:sz w:val="20"/>
                <w:szCs w:val="20"/>
              </w:rPr>
              <w:t xml:space="preserve"> viz) na okraji stránky. Bývaly to zpravidla informace zapsané písařem kodexu, které sdělovaly některé důležité události týkající se např. zadavatele rukopisu, dotýkající se místa, kraje (požáry, povodně) apod.</w:t>
            </w:r>
          </w:p>
        </w:tc>
      </w:tr>
      <w:tr w:rsidR="0038366C" w14:paraId="28468489" w14:textId="77777777" w:rsidTr="00752415">
        <w:tc>
          <w:tcPr>
            <w:tcW w:w="2097" w:type="dxa"/>
          </w:tcPr>
          <w:p w14:paraId="6F6780F1" w14:textId="34141D9A" w:rsidR="0038366C" w:rsidRPr="00DC280E" w:rsidRDefault="00867B1A">
            <w:pPr>
              <w:rPr>
                <w:b/>
              </w:rPr>
            </w:pPr>
            <w:r w:rsidRPr="00DC280E">
              <w:rPr>
                <w:b/>
              </w:rPr>
              <w:t>kreslené písmo</w:t>
            </w:r>
          </w:p>
        </w:tc>
        <w:tc>
          <w:tcPr>
            <w:tcW w:w="6915" w:type="dxa"/>
          </w:tcPr>
          <w:p w14:paraId="70CA9F19" w14:textId="0C3D7471" w:rsidR="0038366C" w:rsidRPr="0036153A" w:rsidRDefault="0036153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Kreslené písmo je způsob psaní, kdy písmena jsou psána samostatně, vět</w:t>
            </w:r>
            <w:r w:rsidR="00D25D0A">
              <w:rPr>
                <w:i/>
                <w:sz w:val="20"/>
                <w:szCs w:val="20"/>
              </w:rPr>
              <w:t>š</w:t>
            </w:r>
            <w:r>
              <w:rPr>
                <w:i/>
                <w:sz w:val="20"/>
                <w:szCs w:val="20"/>
              </w:rPr>
              <w:t>inou několika tahy (tedy technikou kresby), nebývá spojité (bez spojení vlásečnicemi).</w:t>
            </w:r>
          </w:p>
        </w:tc>
      </w:tr>
      <w:tr w:rsidR="0038366C" w14:paraId="54B99F00" w14:textId="77777777" w:rsidTr="00752415">
        <w:tc>
          <w:tcPr>
            <w:tcW w:w="2097" w:type="dxa"/>
          </w:tcPr>
          <w:p w14:paraId="34573863" w14:textId="28893D82" w:rsidR="0038366C" w:rsidRPr="00DC280E" w:rsidRDefault="00867B1A">
            <w:pPr>
              <w:rPr>
                <w:b/>
              </w:rPr>
            </w:pPr>
            <w:r w:rsidRPr="00DC280E">
              <w:rPr>
                <w:b/>
              </w:rPr>
              <w:t>kurzíva</w:t>
            </w:r>
          </w:p>
        </w:tc>
        <w:tc>
          <w:tcPr>
            <w:tcW w:w="6915" w:type="dxa"/>
          </w:tcPr>
          <w:p w14:paraId="111B05C9" w14:textId="14F9FF7D" w:rsidR="0038366C" w:rsidRPr="0036153A" w:rsidRDefault="0036153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Označení pro „rychlejší“ typ písma, kdy písmena jsou psána menším počtem tahů psaných spojitě (spojení jednotlivých písmen vlásečnicemi).</w:t>
            </w:r>
          </w:p>
        </w:tc>
      </w:tr>
      <w:tr w:rsidR="00497A08" w14:paraId="57B05B4B" w14:textId="77777777" w:rsidTr="00752415">
        <w:tc>
          <w:tcPr>
            <w:tcW w:w="2097" w:type="dxa"/>
          </w:tcPr>
          <w:p w14:paraId="01E2C2F0" w14:textId="0E257E75" w:rsidR="00497A08" w:rsidRPr="00DC280E" w:rsidRDefault="00497A08">
            <w:pPr>
              <w:rPr>
                <w:b/>
              </w:rPr>
            </w:pPr>
            <w:r>
              <w:rPr>
                <w:b/>
              </w:rPr>
              <w:t>kustod</w:t>
            </w:r>
          </w:p>
        </w:tc>
        <w:tc>
          <w:tcPr>
            <w:tcW w:w="6915" w:type="dxa"/>
          </w:tcPr>
          <w:p w14:paraId="735D270F" w14:textId="0940F248" w:rsidR="00497A08" w:rsidRDefault="00497A0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V hudebních rukopisech a tiscích označení pro značku upozorňující na konci notového řádku na tón, kterým začíná následující řádek. Název je z latinského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custodio</w:t>
            </w:r>
            <w:proofErr w:type="spellEnd"/>
            <w:r>
              <w:rPr>
                <w:i/>
                <w:sz w:val="20"/>
                <w:szCs w:val="20"/>
              </w:rPr>
              <w:t>- střežím</w:t>
            </w:r>
            <w:proofErr w:type="gramEnd"/>
            <w:r>
              <w:rPr>
                <w:i/>
                <w:sz w:val="20"/>
                <w:szCs w:val="20"/>
              </w:rPr>
              <w:t>, hlídám).</w:t>
            </w:r>
          </w:p>
        </w:tc>
      </w:tr>
      <w:tr w:rsidR="00867B1A" w14:paraId="543BA62E" w14:textId="77777777" w:rsidTr="00752415">
        <w:tc>
          <w:tcPr>
            <w:tcW w:w="2097" w:type="dxa"/>
          </w:tcPr>
          <w:p w14:paraId="75DCE543" w14:textId="6A7E4320" w:rsidR="00867B1A" w:rsidRPr="00DC280E" w:rsidRDefault="00867B1A">
            <w:pPr>
              <w:rPr>
                <w:b/>
              </w:rPr>
            </w:pPr>
            <w:r w:rsidRPr="00DC280E">
              <w:rPr>
                <w:b/>
              </w:rPr>
              <w:t>modul</w:t>
            </w:r>
          </w:p>
        </w:tc>
        <w:tc>
          <w:tcPr>
            <w:tcW w:w="6915" w:type="dxa"/>
          </w:tcPr>
          <w:p w14:paraId="36541F25" w14:textId="123B3308" w:rsidR="00867B1A" w:rsidRPr="0036153A" w:rsidRDefault="0036153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Obecný údaj o velikosti písmen zachycující vztah (poměr) výšky a šířky písmene. </w:t>
            </w:r>
            <w:r w:rsidR="00DC280E">
              <w:rPr>
                <w:i/>
                <w:sz w:val="20"/>
                <w:szCs w:val="20"/>
              </w:rPr>
              <w:t>Známe</w:t>
            </w:r>
            <w:r>
              <w:rPr>
                <w:i/>
                <w:sz w:val="20"/>
                <w:szCs w:val="20"/>
              </w:rPr>
              <w:t xml:space="preserve"> modul velký, střední, malý, popř. čtvercový, kdy výška a šířka nízkých písmen jsou si rozměrem blízké, takže písmena jsou ve středním písařském prostoru zhruba stejně vysoká i široká.</w:t>
            </w:r>
          </w:p>
        </w:tc>
      </w:tr>
      <w:tr w:rsidR="002930D4" w14:paraId="067293AB" w14:textId="77777777" w:rsidTr="00752415">
        <w:tc>
          <w:tcPr>
            <w:tcW w:w="2097" w:type="dxa"/>
          </w:tcPr>
          <w:p w14:paraId="6EE7FCD6" w14:textId="21685CE7" w:rsidR="002930D4" w:rsidRPr="00DC280E" w:rsidRDefault="002930D4">
            <w:pPr>
              <w:rPr>
                <w:b/>
              </w:rPr>
            </w:pPr>
            <w:r>
              <w:rPr>
                <w:b/>
              </w:rPr>
              <w:t>paginace</w:t>
            </w:r>
          </w:p>
        </w:tc>
        <w:tc>
          <w:tcPr>
            <w:tcW w:w="6915" w:type="dxa"/>
          </w:tcPr>
          <w:p w14:paraId="54DB91BB" w14:textId="2A9BEAB3" w:rsidR="002930D4" w:rsidRDefault="002930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Způsob průběžného označování jednotlivých stran od první do poslední.</w:t>
            </w:r>
          </w:p>
        </w:tc>
      </w:tr>
      <w:tr w:rsidR="00FC6B0F" w14:paraId="3846399C" w14:textId="77777777" w:rsidTr="00752415">
        <w:tc>
          <w:tcPr>
            <w:tcW w:w="2097" w:type="dxa"/>
          </w:tcPr>
          <w:p w14:paraId="61F41FB7" w14:textId="43E2FD06" w:rsidR="00FC6B0F" w:rsidRDefault="00FC6B0F">
            <w:pPr>
              <w:rPr>
                <w:b/>
              </w:rPr>
            </w:pPr>
            <w:r>
              <w:rPr>
                <w:b/>
              </w:rPr>
              <w:t>palimpsest</w:t>
            </w:r>
          </w:p>
        </w:tc>
        <w:tc>
          <w:tcPr>
            <w:tcW w:w="6915" w:type="dxa"/>
          </w:tcPr>
          <w:p w14:paraId="6D718D4A" w14:textId="39B158BD" w:rsidR="00FC6B0F" w:rsidRDefault="00FC6B0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Označení pro pergamen zbavený původního textu (vyškrabáním) a </w:t>
            </w:r>
            <w:proofErr w:type="spellStart"/>
            <w:r>
              <w:rPr>
                <w:i/>
                <w:sz w:val="20"/>
                <w:szCs w:val="20"/>
              </w:rPr>
              <w:t>reskribcí</w:t>
            </w:r>
            <w:proofErr w:type="spellEnd"/>
            <w:r>
              <w:rPr>
                <w:i/>
                <w:sz w:val="20"/>
                <w:szCs w:val="20"/>
              </w:rPr>
              <w:t xml:space="preserve"> opatřený textem novým. </w:t>
            </w:r>
          </w:p>
        </w:tc>
      </w:tr>
      <w:tr w:rsidR="002930D4" w14:paraId="3C3883A3" w14:textId="77777777" w:rsidTr="00752415">
        <w:tc>
          <w:tcPr>
            <w:tcW w:w="2097" w:type="dxa"/>
          </w:tcPr>
          <w:p w14:paraId="507B006B" w14:textId="67C008C8" w:rsidR="002930D4" w:rsidRDefault="002930D4">
            <w:pPr>
              <w:rPr>
                <w:b/>
              </w:rPr>
            </w:pPr>
            <w:r>
              <w:rPr>
                <w:b/>
              </w:rPr>
              <w:lastRenderedPageBreak/>
              <w:t>palmeta</w:t>
            </w:r>
          </w:p>
        </w:tc>
        <w:tc>
          <w:tcPr>
            <w:tcW w:w="6915" w:type="dxa"/>
          </w:tcPr>
          <w:p w14:paraId="19CBD85F" w14:textId="2EB8DF5F" w:rsidR="002930D4" w:rsidRDefault="002930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Ornament připomínající korunu palmových listů tvořenou obvykle pěti na konci zaoblenými (nebo zašpičatěnými) listy vějířovitě se rozbíhajícími vzhůru.</w:t>
            </w:r>
          </w:p>
        </w:tc>
      </w:tr>
      <w:tr w:rsidR="00975456" w14:paraId="72F325FC" w14:textId="77777777" w:rsidTr="00752415">
        <w:tc>
          <w:tcPr>
            <w:tcW w:w="2097" w:type="dxa"/>
          </w:tcPr>
          <w:p w14:paraId="708FE55F" w14:textId="5B8B12CC" w:rsidR="00975456" w:rsidRDefault="00975456">
            <w:pPr>
              <w:rPr>
                <w:b/>
              </w:rPr>
            </w:pPr>
            <w:r>
              <w:rPr>
                <w:b/>
              </w:rPr>
              <w:t>pergamen</w:t>
            </w:r>
          </w:p>
        </w:tc>
        <w:tc>
          <w:tcPr>
            <w:tcW w:w="6915" w:type="dxa"/>
          </w:tcPr>
          <w:p w14:paraId="5B5F52AA" w14:textId="1974D45C" w:rsidR="00975456" w:rsidRDefault="0097545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Psací látka živočišného původu – zpravidla z kůže ovcí, koz, telat nebo oslů – upravená pro psaní </w:t>
            </w:r>
            <w:r w:rsidR="00FC6B0F">
              <w:rPr>
                <w:i/>
                <w:sz w:val="20"/>
                <w:szCs w:val="20"/>
              </w:rPr>
              <w:t>textu.</w:t>
            </w:r>
          </w:p>
        </w:tc>
      </w:tr>
      <w:tr w:rsidR="002930D4" w14:paraId="4B49BF0A" w14:textId="77777777" w:rsidTr="00752415">
        <w:tc>
          <w:tcPr>
            <w:tcW w:w="2097" w:type="dxa"/>
          </w:tcPr>
          <w:p w14:paraId="638E7245" w14:textId="23D81038" w:rsidR="002930D4" w:rsidRDefault="002930D4">
            <w:pPr>
              <w:rPr>
                <w:b/>
              </w:rPr>
            </w:pPr>
            <w:r>
              <w:rPr>
                <w:b/>
              </w:rPr>
              <w:t>předsádka</w:t>
            </w:r>
          </w:p>
        </w:tc>
        <w:tc>
          <w:tcPr>
            <w:tcW w:w="6915" w:type="dxa"/>
          </w:tcPr>
          <w:p w14:paraId="6AC2B940" w14:textId="7BB94085" w:rsidR="002930D4" w:rsidRDefault="002930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Samostatné listy vevázané (předsazené) před první a za poslední list rukopisu.</w:t>
            </w:r>
          </w:p>
        </w:tc>
      </w:tr>
      <w:tr w:rsidR="002930D4" w14:paraId="1C68ADD9" w14:textId="77777777" w:rsidTr="00752415">
        <w:tc>
          <w:tcPr>
            <w:tcW w:w="2097" w:type="dxa"/>
          </w:tcPr>
          <w:p w14:paraId="0D2352BC" w14:textId="5FE44EBA" w:rsidR="002930D4" w:rsidRDefault="002930D4">
            <w:pPr>
              <w:rPr>
                <w:b/>
              </w:rPr>
            </w:pPr>
            <w:r>
              <w:rPr>
                <w:b/>
              </w:rPr>
              <w:t>přídeští</w:t>
            </w:r>
          </w:p>
        </w:tc>
        <w:tc>
          <w:tcPr>
            <w:tcW w:w="6915" w:type="dxa"/>
          </w:tcPr>
          <w:p w14:paraId="1F29A9ED" w14:textId="06C0A028" w:rsidR="002930D4" w:rsidRDefault="002930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Prostor na vnitřních stranách desek – místo pro různé poznámky a vpisky.</w:t>
            </w:r>
          </w:p>
        </w:tc>
      </w:tr>
      <w:tr w:rsidR="008E7798" w14:paraId="4F8FE5F6" w14:textId="77777777" w:rsidTr="00752415">
        <w:tc>
          <w:tcPr>
            <w:tcW w:w="2097" w:type="dxa"/>
          </w:tcPr>
          <w:p w14:paraId="68133E7C" w14:textId="5C822DF0" w:rsidR="008E7798" w:rsidRDefault="00D630BF">
            <w:pPr>
              <w:rPr>
                <w:b/>
              </w:rPr>
            </w:pPr>
            <w:r>
              <w:rPr>
                <w:b/>
              </w:rPr>
              <w:t>reklamant</w:t>
            </w:r>
          </w:p>
        </w:tc>
        <w:tc>
          <w:tcPr>
            <w:tcW w:w="6915" w:type="dxa"/>
          </w:tcPr>
          <w:p w14:paraId="45510093" w14:textId="38197DCD" w:rsidR="008E7798" w:rsidRDefault="00D630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Označení pro slova, popř. slabiky umístěné na konci listů, nebo složek upozorňující na slovo, či slabiky, kterými začíná text na následující straně. </w:t>
            </w:r>
          </w:p>
        </w:tc>
      </w:tr>
      <w:tr w:rsidR="002930D4" w14:paraId="5C282EE3" w14:textId="77777777" w:rsidTr="00752415">
        <w:tc>
          <w:tcPr>
            <w:tcW w:w="2097" w:type="dxa"/>
          </w:tcPr>
          <w:p w14:paraId="00A161F6" w14:textId="0B6A8B9E" w:rsidR="002930D4" w:rsidRDefault="002930D4">
            <w:pPr>
              <w:rPr>
                <w:b/>
              </w:rPr>
            </w:pPr>
            <w:r>
              <w:rPr>
                <w:b/>
              </w:rPr>
              <w:t>rozviliny</w:t>
            </w:r>
          </w:p>
        </w:tc>
        <w:tc>
          <w:tcPr>
            <w:tcW w:w="6915" w:type="dxa"/>
          </w:tcPr>
          <w:p w14:paraId="4A37DD0E" w14:textId="63A62BB1" w:rsidR="002930D4" w:rsidRDefault="002930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Ornamenty ze spirálově stáčených úponků rostlin spojených akantovými listy nebo květy.</w:t>
            </w:r>
          </w:p>
        </w:tc>
      </w:tr>
      <w:tr w:rsidR="002930D4" w14:paraId="16B8CF91" w14:textId="77777777" w:rsidTr="00752415">
        <w:tc>
          <w:tcPr>
            <w:tcW w:w="2097" w:type="dxa"/>
          </w:tcPr>
          <w:p w14:paraId="20E6F532" w14:textId="269E607E" w:rsidR="002930D4" w:rsidRPr="00DC280E" w:rsidRDefault="00261B17">
            <w:pPr>
              <w:rPr>
                <w:b/>
              </w:rPr>
            </w:pPr>
            <w:r>
              <w:rPr>
                <w:b/>
              </w:rPr>
              <w:t>rubriky</w:t>
            </w:r>
          </w:p>
        </w:tc>
        <w:tc>
          <w:tcPr>
            <w:tcW w:w="6915" w:type="dxa"/>
          </w:tcPr>
          <w:p w14:paraId="575944FF" w14:textId="3A676576" w:rsidR="002930D4" w:rsidRDefault="00261B1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 liturgických knihách červeně psané (ruber= latinsky červený). Jsou to poznámky a pokyny „režijního“ charakteru. V některých pramenech (např. v </w:t>
            </w:r>
            <w:proofErr w:type="spellStart"/>
            <w:r>
              <w:rPr>
                <w:i/>
                <w:sz w:val="20"/>
                <w:szCs w:val="20"/>
              </w:rPr>
              <w:t>JistK</w:t>
            </w:r>
            <w:proofErr w:type="spellEnd"/>
            <w:r>
              <w:rPr>
                <w:i/>
                <w:sz w:val="20"/>
                <w:szCs w:val="20"/>
              </w:rPr>
              <w:t>) jsou rubrikovaná místa podtržena červeně.</w:t>
            </w:r>
          </w:p>
        </w:tc>
      </w:tr>
      <w:tr w:rsidR="00261B17" w14:paraId="61CE1955" w14:textId="77777777" w:rsidTr="00752415">
        <w:tc>
          <w:tcPr>
            <w:tcW w:w="2097" w:type="dxa"/>
          </w:tcPr>
          <w:p w14:paraId="5617ECBB" w14:textId="689825A0" w:rsidR="00261B17" w:rsidRDefault="00261B17">
            <w:pPr>
              <w:rPr>
                <w:b/>
              </w:rPr>
            </w:pPr>
            <w:r>
              <w:rPr>
                <w:b/>
              </w:rPr>
              <w:t>slepotisk</w:t>
            </w:r>
          </w:p>
        </w:tc>
        <w:tc>
          <w:tcPr>
            <w:tcW w:w="6915" w:type="dxa"/>
          </w:tcPr>
          <w:p w14:paraId="6EE1A6EF" w14:textId="6A6F2322" w:rsidR="00261B17" w:rsidRDefault="00261B1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Technika reliéfní ražby do kůže nebo papíru.</w:t>
            </w:r>
          </w:p>
        </w:tc>
      </w:tr>
      <w:tr w:rsidR="00FC6B0F" w14:paraId="2A1D0E67" w14:textId="77777777" w:rsidTr="00752415">
        <w:tc>
          <w:tcPr>
            <w:tcW w:w="2097" w:type="dxa"/>
          </w:tcPr>
          <w:p w14:paraId="62566679" w14:textId="2E84DCAE" w:rsidR="00FC6B0F" w:rsidRDefault="00FC6B0F">
            <w:pPr>
              <w:rPr>
                <w:b/>
              </w:rPr>
            </w:pPr>
            <w:r>
              <w:rPr>
                <w:b/>
              </w:rPr>
              <w:t>spony</w:t>
            </w:r>
          </w:p>
        </w:tc>
        <w:tc>
          <w:tcPr>
            <w:tcW w:w="6915" w:type="dxa"/>
          </w:tcPr>
          <w:p w14:paraId="27A61915" w14:textId="6C3123BE" w:rsidR="00FC6B0F" w:rsidRDefault="00EC1D1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Označení pro součást vazby kodexu umožňující jeho soudržnost. Spony jsou buď kovové, nebo řemínkové.</w:t>
            </w:r>
          </w:p>
        </w:tc>
      </w:tr>
      <w:tr w:rsidR="00867B1A" w14:paraId="15107C38" w14:textId="77777777" w:rsidTr="00752415">
        <w:tc>
          <w:tcPr>
            <w:tcW w:w="2097" w:type="dxa"/>
          </w:tcPr>
          <w:p w14:paraId="658649AE" w14:textId="7405335F" w:rsidR="00867B1A" w:rsidRPr="00DC280E" w:rsidRDefault="00DC280E">
            <w:pPr>
              <w:rPr>
                <w:b/>
              </w:rPr>
            </w:pPr>
            <w:r w:rsidRPr="00DC280E">
              <w:rPr>
                <w:b/>
              </w:rPr>
              <w:t>t</w:t>
            </w:r>
            <w:r w:rsidR="00867B1A" w:rsidRPr="00DC280E">
              <w:rPr>
                <w:b/>
              </w:rPr>
              <w:t>var</w:t>
            </w:r>
            <w:r w:rsidRPr="00DC280E">
              <w:rPr>
                <w:b/>
              </w:rPr>
              <w:t xml:space="preserve"> (forma)</w:t>
            </w:r>
          </w:p>
        </w:tc>
        <w:tc>
          <w:tcPr>
            <w:tcW w:w="6915" w:type="dxa"/>
          </w:tcPr>
          <w:p w14:paraId="6BC58F1F" w14:textId="78E707C1" w:rsidR="00867B1A" w:rsidRPr="0036153A" w:rsidRDefault="00DC280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Je to termín označující tvar jednotlivých písmen. Jedno a totéž písmeno může mít různé, někdy i odlišné tvary.</w:t>
            </w:r>
          </w:p>
        </w:tc>
      </w:tr>
      <w:tr w:rsidR="002930D4" w14:paraId="1BCC0F34" w14:textId="77777777" w:rsidTr="00752415">
        <w:tc>
          <w:tcPr>
            <w:tcW w:w="2097" w:type="dxa"/>
          </w:tcPr>
          <w:p w14:paraId="50720D4C" w14:textId="255EFE1C" w:rsidR="002930D4" w:rsidRPr="00DC280E" w:rsidRDefault="00FC6B0F">
            <w:pPr>
              <w:rPr>
                <w:b/>
              </w:rPr>
            </w:pPr>
            <w:proofErr w:type="spellStart"/>
            <w:r>
              <w:rPr>
                <w:b/>
              </w:rPr>
              <w:t>uzualizace</w:t>
            </w:r>
            <w:proofErr w:type="spellEnd"/>
          </w:p>
        </w:tc>
        <w:tc>
          <w:tcPr>
            <w:tcW w:w="6915" w:type="dxa"/>
          </w:tcPr>
          <w:p w14:paraId="4274F447" w14:textId="79E17A50" w:rsidR="002930D4" w:rsidRDefault="00FC6B0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Označení pro techniku tvorby repertoáru pramene podle míry jeho oblíbenosti, popř. funkčnosti. Systematický aspekt má sekundární roli. </w:t>
            </w:r>
          </w:p>
        </w:tc>
      </w:tr>
      <w:tr w:rsidR="00867B1A" w14:paraId="70CBA27B" w14:textId="77777777" w:rsidTr="00752415">
        <w:tc>
          <w:tcPr>
            <w:tcW w:w="2097" w:type="dxa"/>
          </w:tcPr>
          <w:p w14:paraId="200D6D62" w14:textId="1B6E9663" w:rsidR="00867B1A" w:rsidRPr="00DC280E" w:rsidRDefault="00867B1A">
            <w:pPr>
              <w:rPr>
                <w:b/>
              </w:rPr>
            </w:pPr>
            <w:r w:rsidRPr="00DC280E">
              <w:rPr>
                <w:b/>
              </w:rPr>
              <w:t>váha</w:t>
            </w:r>
          </w:p>
        </w:tc>
        <w:tc>
          <w:tcPr>
            <w:tcW w:w="6915" w:type="dxa"/>
          </w:tcPr>
          <w:p w14:paraId="3E2A1DF2" w14:textId="6B194581" w:rsidR="00867B1A" w:rsidRPr="0036153A" w:rsidRDefault="00DC280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Termín označující „sílu“ jednotlivých tahů. Těžké písmo má velké kontrasty mezi silnými (tlustými) a slabými (tenkými) </w:t>
            </w:r>
            <w:proofErr w:type="gramStart"/>
            <w:r>
              <w:rPr>
                <w:i/>
                <w:sz w:val="20"/>
                <w:szCs w:val="20"/>
              </w:rPr>
              <w:t>tahy - silné</w:t>
            </w:r>
            <w:proofErr w:type="gramEnd"/>
            <w:r>
              <w:rPr>
                <w:i/>
                <w:sz w:val="20"/>
                <w:szCs w:val="20"/>
              </w:rPr>
              <w:t xml:space="preserve"> tahy převládají. Lehké písmo tyto kontrasty nemá, popř. je má ve velmi malé míře – síla tahů je vyrovnaná a příliš silné tahy se nevyskytují.</w:t>
            </w:r>
          </w:p>
        </w:tc>
      </w:tr>
      <w:tr w:rsidR="00867B1A" w14:paraId="4DA12C96" w14:textId="77777777" w:rsidTr="00752415">
        <w:tc>
          <w:tcPr>
            <w:tcW w:w="2097" w:type="dxa"/>
          </w:tcPr>
          <w:p w14:paraId="40C3C87F" w14:textId="25AF990D" w:rsidR="00867B1A" w:rsidRPr="00E315E7" w:rsidRDefault="00E315E7">
            <w:pPr>
              <w:rPr>
                <w:b/>
              </w:rPr>
            </w:pPr>
            <w:r w:rsidRPr="00E315E7">
              <w:rPr>
                <w:b/>
              </w:rPr>
              <w:t>zrcadlo</w:t>
            </w:r>
          </w:p>
        </w:tc>
        <w:tc>
          <w:tcPr>
            <w:tcW w:w="6915" w:type="dxa"/>
          </w:tcPr>
          <w:p w14:paraId="31EF8A80" w14:textId="2C816CD7" w:rsidR="00867B1A" w:rsidRPr="0036153A" w:rsidRDefault="00E315E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Termín označující (zpravidla) graficky vymezený prostor pro zápis hlavního (hudebního nebo slovního) textu.</w:t>
            </w:r>
          </w:p>
        </w:tc>
      </w:tr>
      <w:tr w:rsidR="0038366C" w14:paraId="7552D8FD" w14:textId="77777777" w:rsidTr="00752415">
        <w:tc>
          <w:tcPr>
            <w:tcW w:w="2097" w:type="dxa"/>
          </w:tcPr>
          <w:p w14:paraId="70159891" w14:textId="77777777" w:rsidR="0038366C" w:rsidRDefault="0038366C"/>
        </w:tc>
        <w:tc>
          <w:tcPr>
            <w:tcW w:w="6915" w:type="dxa"/>
          </w:tcPr>
          <w:p w14:paraId="078ADD27" w14:textId="77777777" w:rsidR="0038366C" w:rsidRPr="00752415" w:rsidRDefault="0038366C">
            <w:pPr>
              <w:rPr>
                <w:sz w:val="20"/>
                <w:szCs w:val="20"/>
              </w:rPr>
            </w:pPr>
          </w:p>
        </w:tc>
      </w:tr>
    </w:tbl>
    <w:p w14:paraId="2EE1029A" w14:textId="77777777" w:rsidR="0038366C" w:rsidRDefault="0038366C">
      <w:bookmarkStart w:id="0" w:name="_GoBack"/>
      <w:bookmarkEnd w:id="0"/>
    </w:p>
    <w:sectPr w:rsidR="00383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D7"/>
    <w:rsid w:val="00125914"/>
    <w:rsid w:val="00225156"/>
    <w:rsid w:val="00261B17"/>
    <w:rsid w:val="00273BC1"/>
    <w:rsid w:val="00287C69"/>
    <w:rsid w:val="00291171"/>
    <w:rsid w:val="002930D4"/>
    <w:rsid w:val="00302AD0"/>
    <w:rsid w:val="0036153A"/>
    <w:rsid w:val="0038366C"/>
    <w:rsid w:val="00497A08"/>
    <w:rsid w:val="004C73CB"/>
    <w:rsid w:val="005446DC"/>
    <w:rsid w:val="00752415"/>
    <w:rsid w:val="00772C96"/>
    <w:rsid w:val="0078503B"/>
    <w:rsid w:val="008068D7"/>
    <w:rsid w:val="00867B1A"/>
    <w:rsid w:val="008C7078"/>
    <w:rsid w:val="008E7798"/>
    <w:rsid w:val="008F1ED1"/>
    <w:rsid w:val="008F7D2B"/>
    <w:rsid w:val="00975456"/>
    <w:rsid w:val="00990E1D"/>
    <w:rsid w:val="00AB1BEA"/>
    <w:rsid w:val="00BB1926"/>
    <w:rsid w:val="00D25D0A"/>
    <w:rsid w:val="00D630BF"/>
    <w:rsid w:val="00DC280E"/>
    <w:rsid w:val="00E315E7"/>
    <w:rsid w:val="00E53E33"/>
    <w:rsid w:val="00EA4699"/>
    <w:rsid w:val="00EC1D14"/>
    <w:rsid w:val="00FC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1ECC"/>
  <w15:chartTrackingRefBased/>
  <w15:docId w15:val="{5CFE27C8-4BA9-4271-B29C-FCE2231B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8366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7F9E7-BA49-4972-B4B4-F00E6923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794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2022-04-30T19:57:00Z</dcterms:created>
  <dcterms:modified xsi:type="dcterms:W3CDTF">2022-05-15T10:02:00Z</dcterms:modified>
</cp:coreProperties>
</file>