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Lezione n. 13 (10 maggio 2022)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Giuseppe Ungaretti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Alcune caratteristiche di 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Allegria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>(leggere MANUALE, pp. 98-99)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forza evocativa ed espressiva del singolo vocabolo: ricerca della parola assoluta; lessico scabro ed essenziale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analogie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lavoro correttorio delle liriche 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impostazione diaristica (continuit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à</w:t>
      </w:r>
      <w:r>
        <w:rPr>
          <w:rFonts w:ascii="Comic Sans MS" w:hAnsi="Comic Sans MS"/>
          <w:sz w:val="24"/>
          <w:szCs w:val="24"/>
          <w:rtl w:val="0"/>
          <w:lang w:val="en-US"/>
        </w:rPr>
        <w:t>: indicazione luogo e data) / illuminazioni liriche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LETTURE: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estratto dalla prosa introduttiva dell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’’”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Allegria : pdf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Allegria, commento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Ancora nel manuale: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Fratelli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>(analisi, lettura e ascolto)</w:t>
      </w:r>
      <w:r>
        <w:rPr>
          <w:rFonts w:ascii="Comic Sans MS" w:cs="Comic Sans MS" w:hAnsi="Comic Sans MS" w:eastAsia="Comic Sans MS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12028</wp:posOffset>
            </wp:positionH>
            <wp:positionV relativeFrom="line">
              <wp:posOffset>203200</wp:posOffset>
            </wp:positionV>
            <wp:extent cx="5017161" cy="3762871"/>
            <wp:effectExtent l="0" t="0" r="0" b="0"/>
            <wp:wrapTopAndBottom distT="152400" distB="152400"/>
            <wp:docPr id="1073741825" name="officeArt object">
              <a:hlinkClick r:id="rId4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qdefault.jpeg">
                      <a:hlinkClick r:id="rId4" invalidUrl="" action="" tgtFrame="" tooltip="" history="1" highlightClick="0" endSnd="0"/>
                    </pic:cNvPr>
                    <pic:cNvPicPr>
                      <a:picLocks noChangeAspect="0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161" cy="3762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Soldati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In memoria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>(facoltativa!)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Alcune caratteristiche di 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Sentimento del tempo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”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versi pi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ù </w:t>
      </w:r>
      <w:r>
        <w:rPr>
          <w:rFonts w:ascii="Comic Sans MS" w:hAnsi="Comic Sans MS"/>
          <w:sz w:val="24"/>
          <w:szCs w:val="24"/>
          <w:rtl w:val="0"/>
          <w:lang w:val="en-US"/>
        </w:rPr>
        <w:t>lunghi (recupero della versificazione tradizionale)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sintassi pi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ù </w:t>
      </w:r>
      <w:r>
        <w:rPr>
          <w:rFonts w:ascii="Comic Sans MS" w:hAnsi="Comic Sans MS"/>
          <w:sz w:val="24"/>
          <w:szCs w:val="24"/>
          <w:rtl w:val="0"/>
          <w:lang w:val="en-US"/>
        </w:rPr>
        <w:t>legata e fluida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analogie esplicite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biografia resa oggettiva: creazione di miti 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sensibilit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barocca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LETTURA: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Variazioni sul nulla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(pdf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Ungaretti, altri testi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Umberto Saba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Linea poetica diversa da quella di Ungaretti e Montale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Il nucleo familiare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fonte di nevrosi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1921- Canzoniere (1 ed.)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1945- nuova ed. del Canozniere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1948- Storia e cronistoria del Canzoniere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1961- ed. postuma del Canzoniere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Canzoniere: diverso da quello di Petrarca: racconta le impurit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della vita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poesia vicina alle cose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continuit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con la tradizione della lirica italiana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ispirazione all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infanzia, sentita tuttavia con inquietudine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poesia apparentemente leggera e facile: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LEGGERE PAGINE DEL MANUALE di STORIA DELLA LETTERATURA (profilo letterario, pp. 67-70)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Lettura di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Trieste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>(pp. 76-77)</w:t>
      </w:r>
    </w:p>
    <w:p>
      <w:pPr>
        <w:pStyle w:val="Corpo"/>
      </w:pPr>
      <w:r>
        <w:rPr>
          <w:rFonts w:ascii="Comic Sans MS" w:cs="Comic Sans MS" w:hAnsi="Comic Sans MS" w:eastAsia="Comic Sans MS"/>
          <w:sz w:val="24"/>
          <w:szCs w:val="24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youtube.com/watch?v=eZzKAtD0Cxs" TargetMode="Externa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