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6A17" w14:textId="34220F93" w:rsidR="00EA7CA1" w:rsidRDefault="00C338AF">
      <w:r w:rsidRPr="00AB4A5E">
        <w:rPr>
          <w:sz w:val="30"/>
          <w:szCs w:val="36"/>
          <w:highlight w:val="yellow"/>
        </w:rPr>
        <w:t>Master</w:t>
      </w:r>
      <w:r>
        <w:t xml:space="preserve"> – </w:t>
      </w:r>
      <w:proofErr w:type="spellStart"/>
      <w:r>
        <w:t>semester</w:t>
      </w:r>
      <w:proofErr w:type="spellEnd"/>
      <w:r>
        <w:t xml:space="preserve"> 2, </w:t>
      </w:r>
      <w:proofErr w:type="spellStart"/>
      <w:r>
        <w:t>våren</w:t>
      </w:r>
      <w:proofErr w:type="spellEnd"/>
      <w:r>
        <w:t xml:space="preserve"> 2022 (</w:t>
      </w:r>
      <w:proofErr w:type="spellStart"/>
      <w:r>
        <w:t>mandag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tirsdag</w:t>
      </w:r>
      <w:proofErr w:type="spellEnd"/>
      <w:r>
        <w:t>)</w:t>
      </w:r>
      <w:r w:rsidR="00916E0D">
        <w:t xml:space="preserve"> </w:t>
      </w:r>
    </w:p>
    <w:p w14:paraId="4325888D" w14:textId="21374769" w:rsidR="003E2EB8" w:rsidRPr="00D23F32" w:rsidRDefault="003E2EB8" w:rsidP="003C0AAB">
      <w:pPr>
        <w:spacing w:line="240" w:lineRule="auto"/>
        <w:contextualSpacing/>
        <w:rPr>
          <w:b/>
          <w:bCs/>
          <w:color w:val="FF0000"/>
        </w:rPr>
      </w:pPr>
      <w:r w:rsidRPr="004D76BE">
        <w:rPr>
          <w:b/>
          <w:bCs/>
          <w:color w:val="FF0000"/>
        </w:rPr>
        <w:t>2</w:t>
      </w:r>
      <w:r w:rsidR="000409DC" w:rsidRPr="004D76BE">
        <w:rPr>
          <w:b/>
          <w:bCs/>
          <w:color w:val="FF0000"/>
        </w:rPr>
        <w:t>8</w:t>
      </w:r>
      <w:r w:rsidRPr="004D76BE">
        <w:rPr>
          <w:b/>
          <w:bCs/>
          <w:color w:val="FF0000"/>
        </w:rPr>
        <w:t>.2.</w:t>
      </w:r>
      <w:r w:rsidR="00D23F32">
        <w:rPr>
          <w:b/>
          <w:bCs/>
          <w:color w:val="FF0000"/>
        </w:rPr>
        <w:t xml:space="preserve">, </w:t>
      </w:r>
      <w:r w:rsidR="000409DC" w:rsidRPr="004D76BE">
        <w:rPr>
          <w:b/>
          <w:bCs/>
          <w:color w:val="FF0000"/>
        </w:rPr>
        <w:t>14</w:t>
      </w:r>
      <w:r w:rsidRPr="004D76BE">
        <w:rPr>
          <w:b/>
          <w:bCs/>
          <w:color w:val="FF0000"/>
        </w:rPr>
        <w:t>.3.</w:t>
      </w:r>
      <w:r w:rsidR="00D23F32">
        <w:rPr>
          <w:b/>
          <w:bCs/>
          <w:color w:val="FF0000"/>
        </w:rPr>
        <w:t xml:space="preserve">, </w:t>
      </w:r>
      <w:r w:rsidRPr="004D76BE">
        <w:rPr>
          <w:b/>
          <w:bCs/>
          <w:color w:val="FF0000"/>
        </w:rPr>
        <w:t>2</w:t>
      </w:r>
      <w:r w:rsidR="000409DC" w:rsidRPr="004D76BE">
        <w:rPr>
          <w:b/>
          <w:bCs/>
          <w:color w:val="FF0000"/>
        </w:rPr>
        <w:t>8</w:t>
      </w:r>
      <w:r w:rsidRPr="004D76BE">
        <w:rPr>
          <w:b/>
          <w:bCs/>
          <w:color w:val="FF0000"/>
        </w:rPr>
        <w:t>.3.</w:t>
      </w:r>
      <w:r w:rsidR="00D23F32">
        <w:rPr>
          <w:b/>
          <w:bCs/>
          <w:color w:val="FF0000"/>
        </w:rPr>
        <w:t xml:space="preserve">, </w:t>
      </w:r>
      <w:r w:rsidR="00E56596" w:rsidRPr="004D76BE">
        <w:rPr>
          <w:b/>
          <w:bCs/>
          <w:color w:val="FF0000"/>
        </w:rPr>
        <w:t>11</w:t>
      </w:r>
      <w:r w:rsidRPr="004D76BE">
        <w:rPr>
          <w:b/>
          <w:bCs/>
          <w:color w:val="FF0000"/>
        </w:rPr>
        <w:t>.4.</w:t>
      </w:r>
      <w:r w:rsidR="00D23F32">
        <w:t>,</w:t>
      </w:r>
      <w:r w:rsidR="002458B4" w:rsidRPr="002458B4">
        <w:t xml:space="preserve"> </w:t>
      </w:r>
      <w:r w:rsidRPr="004D76BE">
        <w:rPr>
          <w:b/>
          <w:bCs/>
          <w:color w:val="FF0000"/>
        </w:rPr>
        <w:t>25.4</w:t>
      </w:r>
      <w:r>
        <w:t>.</w:t>
      </w:r>
      <w:r w:rsidR="00E56596">
        <w:t xml:space="preserve"> </w:t>
      </w:r>
    </w:p>
    <w:p w14:paraId="5F128E5D" w14:textId="48A7F056" w:rsidR="001E5228" w:rsidRDefault="000409DC" w:rsidP="00716FBB">
      <w:pPr>
        <w:spacing w:line="240" w:lineRule="auto"/>
        <w:contextualSpacing/>
        <w:rPr>
          <w:lang w:val="nb-NO"/>
        </w:rPr>
      </w:pPr>
      <w:r>
        <w:rPr>
          <w:lang w:val="nb-NO"/>
        </w:rPr>
        <w:t>Mai: kreditt, tentamen</w:t>
      </w:r>
      <w:r w:rsidR="00A02AB9">
        <w:rPr>
          <w:lang w:val="nb-NO"/>
        </w:rPr>
        <w:t>, test</w:t>
      </w:r>
      <w:r>
        <w:rPr>
          <w:lang w:val="nb-NO"/>
        </w:rPr>
        <w:t xml:space="preserve"> og eksamen</w:t>
      </w:r>
    </w:p>
    <w:p w14:paraId="6DBBE669" w14:textId="7FC04BA5" w:rsidR="002458B4" w:rsidRPr="002458B4" w:rsidRDefault="002458B4" w:rsidP="00716FBB">
      <w:pPr>
        <w:spacing w:line="240" w:lineRule="auto"/>
        <w:contextualSpacing/>
        <w:rPr>
          <w:lang w:val="nb-NO"/>
        </w:rPr>
      </w:pPr>
      <w:r>
        <w:rPr>
          <w:lang w:val="nb-NO"/>
        </w:rPr>
        <w:t>DIDAKTIKA:</w:t>
      </w:r>
    </w:p>
    <w:p w14:paraId="163C4875" w14:textId="77777777" w:rsidR="002458B4" w:rsidRDefault="001E5228" w:rsidP="001E5228">
      <w:pPr>
        <w:pStyle w:val="Odstavecseseznamem"/>
        <w:numPr>
          <w:ilvl w:val="0"/>
          <w:numId w:val="1"/>
        </w:numPr>
        <w:spacing w:line="240" w:lineRule="auto"/>
      </w:pPr>
      <w:r>
        <w:t>norsk</w:t>
      </w:r>
      <w:r>
        <w:rPr>
          <w:rFonts w:hint="eastAsia"/>
        </w:rPr>
        <w:t>á</w:t>
      </w:r>
      <w:r>
        <w:t xml:space="preserve"> esej o jak</w:t>
      </w:r>
      <w:r>
        <w:rPr>
          <w:rFonts w:hint="eastAsia"/>
        </w:rPr>
        <w:t>é</w:t>
      </w:r>
      <w:r>
        <w:t xml:space="preserve">koli </w:t>
      </w:r>
      <w:r w:rsidRPr="00655C3D">
        <w:rPr>
          <w:b/>
          <w:bCs/>
        </w:rPr>
        <w:t>u</w:t>
      </w:r>
      <w:r w:rsidRPr="00655C3D">
        <w:rPr>
          <w:rFonts w:hint="eastAsia"/>
          <w:b/>
          <w:bCs/>
        </w:rPr>
        <w:t>č</w:t>
      </w:r>
      <w:r w:rsidRPr="00655C3D">
        <w:rPr>
          <w:b/>
          <w:bCs/>
        </w:rPr>
        <w:t>ebnici nor</w:t>
      </w:r>
      <w:r w:rsidRPr="00655C3D">
        <w:rPr>
          <w:rFonts w:hint="eastAsia"/>
          <w:b/>
          <w:bCs/>
        </w:rPr>
        <w:t>š</w:t>
      </w:r>
      <w:r w:rsidRPr="00655C3D">
        <w:rPr>
          <w:b/>
          <w:bCs/>
        </w:rPr>
        <w:t>tiny</w:t>
      </w:r>
      <w:r>
        <w:t>, o metod</w:t>
      </w:r>
      <w:r>
        <w:rPr>
          <w:rFonts w:hint="eastAsia"/>
        </w:rPr>
        <w:t>á</w:t>
      </w:r>
      <w:r>
        <w:t>ch a p</w:t>
      </w:r>
      <w:r>
        <w:rPr>
          <w:rFonts w:hint="eastAsia"/>
        </w:rPr>
        <w:t>ří</w:t>
      </w:r>
      <w:r>
        <w:t>stupech, cílov</w:t>
      </w:r>
      <w:r w:rsidR="00C55439">
        <w:t>é</w:t>
      </w:r>
      <w:r>
        <w:t xml:space="preserve"> skupin</w:t>
      </w:r>
      <w:r w:rsidR="00C55439">
        <w:t>ě</w:t>
      </w:r>
      <w:r w:rsidR="002458B4">
        <w:t xml:space="preserve"> </w:t>
      </w:r>
      <w:proofErr w:type="spellStart"/>
      <w:r w:rsidR="002458B4">
        <w:t>etc</w:t>
      </w:r>
      <w:proofErr w:type="spellEnd"/>
      <w:r w:rsidR="002458B4">
        <w:t>.</w:t>
      </w:r>
      <w:r>
        <w:t xml:space="preserve"> </w:t>
      </w:r>
    </w:p>
    <w:p w14:paraId="229FCC82" w14:textId="77777777" w:rsidR="002458B4" w:rsidRDefault="001E5228" w:rsidP="001E5228">
      <w:pPr>
        <w:pStyle w:val="Odstavecseseznamem"/>
        <w:numPr>
          <w:ilvl w:val="0"/>
          <w:numId w:val="1"/>
        </w:numPr>
        <w:spacing w:line="240" w:lineRule="auto"/>
      </w:pPr>
      <w:r>
        <w:t xml:space="preserve">B. </w:t>
      </w:r>
      <w:r w:rsidRPr="00655C3D">
        <w:rPr>
          <w:b/>
          <w:bCs/>
        </w:rPr>
        <w:t>praktick</w:t>
      </w:r>
      <w:r w:rsidRPr="00655C3D">
        <w:rPr>
          <w:rFonts w:hint="eastAsia"/>
          <w:b/>
          <w:bCs/>
        </w:rPr>
        <w:t>á</w:t>
      </w:r>
      <w:r w:rsidRPr="00655C3D">
        <w:rPr>
          <w:b/>
          <w:bCs/>
        </w:rPr>
        <w:t xml:space="preserve"> v</w:t>
      </w:r>
      <w:r w:rsidRPr="00655C3D">
        <w:rPr>
          <w:rFonts w:hint="eastAsia"/>
          <w:b/>
          <w:bCs/>
        </w:rPr>
        <w:t>ý</w:t>
      </w:r>
      <w:r w:rsidRPr="00655C3D">
        <w:rPr>
          <w:b/>
          <w:bCs/>
        </w:rPr>
        <w:t>uka</w:t>
      </w:r>
      <w:r>
        <w:t xml:space="preserve"> v bakal</w:t>
      </w:r>
      <w:r>
        <w:rPr>
          <w:rFonts w:hint="eastAsia"/>
        </w:rPr>
        <w:t>ář</w:t>
      </w:r>
      <w:r>
        <w:t>sk</w:t>
      </w:r>
      <w:r>
        <w:rPr>
          <w:rFonts w:hint="eastAsia"/>
        </w:rPr>
        <w:t>é</w:t>
      </w:r>
      <w:r>
        <w:t xml:space="preserve"> skupin</w:t>
      </w:r>
      <w:r>
        <w:rPr>
          <w:rFonts w:hint="eastAsia"/>
        </w:rPr>
        <w:t>ě</w:t>
      </w:r>
      <w:r>
        <w:t xml:space="preserve"> podle vlastn</w:t>
      </w:r>
      <w:r>
        <w:rPr>
          <w:rFonts w:hint="eastAsia"/>
        </w:rPr>
        <w:t>í</w:t>
      </w:r>
      <w:r>
        <w:t>ho v</w:t>
      </w:r>
      <w:r>
        <w:rPr>
          <w:rFonts w:hint="eastAsia"/>
        </w:rPr>
        <w:t>ý</w:t>
      </w:r>
      <w:r>
        <w:t>b</w:t>
      </w:r>
      <w:r>
        <w:rPr>
          <w:rFonts w:hint="eastAsia"/>
        </w:rPr>
        <w:t>ě</w:t>
      </w:r>
      <w:r>
        <w:t xml:space="preserve">ru, tedy nemusí být praktická norština, může být i formou přednášky nebo semináře. </w:t>
      </w:r>
    </w:p>
    <w:p w14:paraId="1DD5C828" w14:textId="6839E48D" w:rsidR="001E5228" w:rsidRDefault="001E5228" w:rsidP="001E5228">
      <w:pPr>
        <w:pStyle w:val="Odstavecseseznamem"/>
        <w:numPr>
          <w:ilvl w:val="0"/>
          <w:numId w:val="1"/>
        </w:numPr>
        <w:spacing w:line="240" w:lineRule="auto"/>
      </w:pPr>
      <w:r>
        <w:t>na</w:t>
      </w:r>
      <w:r>
        <w:rPr>
          <w:rFonts w:hint="eastAsia"/>
        </w:rPr>
        <w:t>č</w:t>
      </w:r>
      <w:r>
        <w:t>erp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 w:rsidR="002458B4">
        <w:t>didaktického</w:t>
      </w:r>
      <w:r>
        <w:t xml:space="preserve"> teoretick</w:t>
      </w:r>
      <w:r>
        <w:rPr>
          <w:rFonts w:hint="eastAsia"/>
        </w:rPr>
        <w:t>é</w:t>
      </w:r>
      <w:r>
        <w:t xml:space="preserve">ho </w:t>
      </w:r>
      <w:r w:rsidR="002458B4">
        <w:t>základu</w:t>
      </w:r>
      <w:r w:rsidR="00655C3D">
        <w:t xml:space="preserve"> – Dr. Budňák</w:t>
      </w:r>
      <w:r>
        <w:t>.</w:t>
      </w:r>
    </w:p>
    <w:p w14:paraId="3A86A523" w14:textId="6CCC65E6" w:rsidR="001E5228" w:rsidRDefault="001E5228" w:rsidP="001E5228">
      <w:pPr>
        <w:spacing w:line="240" w:lineRule="auto"/>
        <w:ind w:left="360"/>
      </w:pPr>
      <w:r>
        <w:t>Seznam bakalářských předmětů v tomto semestru přiložen</w:t>
      </w:r>
      <w:r w:rsidR="002458B4">
        <w:t xml:space="preserve"> zde</w:t>
      </w:r>
      <w:r>
        <w:t>:</w:t>
      </w:r>
    </w:p>
    <w:tbl>
      <w:tblPr>
        <w:tblW w:w="1025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5"/>
        <w:gridCol w:w="1288"/>
      </w:tblGrid>
      <w:tr w:rsidR="001E5228" w:rsidRPr="0042113B" w14:paraId="58EFC8CA" w14:textId="77777777" w:rsidTr="001E5228">
        <w:trPr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79D73B2F" w14:textId="78B44FCC" w:rsidR="001E5228" w:rsidRDefault="001E5228" w:rsidP="00A87BD1">
            <w:pPr>
              <w:spacing w:after="0" w:line="240" w:lineRule="auto"/>
              <w:rPr>
                <w:rFonts w:ascii="Open Sans" w:eastAsia="Times New Roman" w:hAnsi="Open Sans" w:cs="Open Sans"/>
                <w:color w:val="002776"/>
                <w:sz w:val="21"/>
                <w:szCs w:val="21"/>
                <w:u w:val="single"/>
                <w:lang w:eastAsia="cs-CZ"/>
              </w:rPr>
            </w:pPr>
          </w:p>
          <w:tbl>
            <w:tblPr>
              <w:tblW w:w="175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85"/>
              <w:gridCol w:w="6965"/>
            </w:tblGrid>
            <w:tr w:rsidR="001E5228" w:rsidRPr="0042113B" w14:paraId="2DE1BE84" w14:textId="77777777" w:rsidTr="00A87BD1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noWrap/>
                  <w:vAlign w:val="center"/>
                  <w:hideMark/>
                </w:tcPr>
                <w:p w14:paraId="46A99D0C" w14:textId="0DEF1245" w:rsidR="002458B4" w:rsidRDefault="002458B4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  <w:t>Bakaláři:</w:t>
                  </w:r>
                </w:p>
                <w:p w14:paraId="08FB6BB5" w14:textId="768E2836" w:rsidR="001E5228" w:rsidRDefault="00C55439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  <w:t>Norština</w:t>
                  </w:r>
                </w:p>
                <w:p w14:paraId="354213CC" w14:textId="3FED45D9" w:rsidR="00C55439" w:rsidRDefault="00C55439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002776"/>
                      <w:sz w:val="21"/>
                      <w:szCs w:val="21"/>
                      <w:u w:val="single"/>
                      <w:lang w:eastAsia="cs-CZ"/>
                    </w:rPr>
                    <w:t>Norština konverzace</w:t>
                  </w:r>
                </w:p>
                <w:p w14:paraId="6A027983" w14:textId="77777777" w:rsidR="001E5228" w:rsidRDefault="00C55439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  <w:t>Lexikologie</w:t>
                  </w:r>
                </w:p>
                <w:p w14:paraId="41FF25DB" w14:textId="77777777" w:rsidR="00C55439" w:rsidRDefault="00C55439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  <w:t>Komentovaná četba norské literatury</w:t>
                  </w:r>
                </w:p>
                <w:p w14:paraId="0F6F9C6D" w14:textId="0C6E25FF" w:rsidR="00C55439" w:rsidRPr="0042113B" w:rsidRDefault="00C55439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</w:pPr>
                  <w:r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  <w:t>Propedeutika odborné práce</w:t>
                  </w:r>
                </w:p>
              </w:tc>
              <w:tc>
                <w:tcPr>
                  <w:tcW w:w="0" w:type="auto"/>
                  <w:shd w:val="clear" w:color="auto" w:fill="FEFEFE"/>
                  <w:noWrap/>
                  <w:vAlign w:val="center"/>
                  <w:hideMark/>
                </w:tcPr>
                <w:p w14:paraId="47D0BCA4" w14:textId="77777777" w:rsidR="001E5228" w:rsidRPr="0042113B" w:rsidRDefault="001E5228" w:rsidP="001E5228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3A3A3A"/>
                      <w:sz w:val="21"/>
                      <w:szCs w:val="21"/>
                      <w:lang w:eastAsia="cs-CZ"/>
                    </w:rPr>
                  </w:pPr>
                  <w:r w:rsidRPr="002227BA">
                    <w:rPr>
                      <w:rFonts w:ascii="Open Sans" w:eastAsia="Times New Roman" w:hAnsi="Open Sans" w:cs="Open Sans"/>
                      <w:color w:val="FF0000"/>
                      <w:sz w:val="21"/>
                      <w:szCs w:val="21"/>
                      <w:lang w:eastAsia="cs-CZ"/>
                    </w:rPr>
                    <w:t>Norština konverzace II/2</w:t>
                  </w:r>
                </w:p>
              </w:tc>
            </w:tr>
          </w:tbl>
          <w:p w14:paraId="10B3AF4B" w14:textId="1E2E85FF" w:rsidR="001E5228" w:rsidRPr="0042113B" w:rsidRDefault="001E5228" w:rsidP="00A87BD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14:paraId="58589242" w14:textId="77777777" w:rsidR="001E5228" w:rsidRPr="0042113B" w:rsidRDefault="001E5228" w:rsidP="00A87BD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2227BA"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cs-CZ"/>
              </w:rPr>
              <w:t>Norština II/2</w:t>
            </w:r>
          </w:p>
        </w:tc>
      </w:tr>
    </w:tbl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1799"/>
        <w:gridCol w:w="2572"/>
        <w:gridCol w:w="1788"/>
        <w:gridCol w:w="1779"/>
      </w:tblGrid>
      <w:tr w:rsidR="003553D5" w14:paraId="1FD9FC9E" w14:textId="484DD152" w:rsidTr="00D23F32">
        <w:tc>
          <w:tcPr>
            <w:tcW w:w="2268" w:type="dxa"/>
          </w:tcPr>
          <w:p w14:paraId="50912737" w14:textId="77777777" w:rsidR="00855D1C" w:rsidRDefault="00855D1C"/>
        </w:tc>
        <w:tc>
          <w:tcPr>
            <w:tcW w:w="1799" w:type="dxa"/>
          </w:tcPr>
          <w:p w14:paraId="6B9A5B8B" w14:textId="77777777" w:rsidR="00855D1C" w:rsidRDefault="00855D1C" w:rsidP="00855D1C"/>
        </w:tc>
        <w:tc>
          <w:tcPr>
            <w:tcW w:w="2572" w:type="dxa"/>
          </w:tcPr>
          <w:p w14:paraId="639BC320" w14:textId="41796532" w:rsidR="00855D1C" w:rsidRPr="00645304" w:rsidRDefault="00855D1C" w:rsidP="00855D1C">
            <w:pPr>
              <w:rPr>
                <w:color w:val="00B050"/>
              </w:rPr>
            </w:pPr>
            <w:r>
              <w:t>12.00</w:t>
            </w:r>
            <w:r w:rsidRPr="00645304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shd w:val="clear" w:color="auto" w:fill="F7F8FC"/>
              </w:rPr>
              <w:t xml:space="preserve"> NOII_68a</w:t>
            </w:r>
            <w:r w:rsidRPr="00645304"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  <w:t> Překladatelství: vybrané okruhy II</w:t>
            </w:r>
          </w:p>
          <w:p w14:paraId="599DB333" w14:textId="6D760375" w:rsidR="00855D1C" w:rsidRDefault="00762D49">
            <w:r>
              <w:t>L 42</w:t>
            </w:r>
          </w:p>
          <w:p w14:paraId="22F8A0FA" w14:textId="77777777" w:rsidR="00AB4A5E" w:rsidRDefault="00AB4A5E">
            <w:r>
              <w:t>Pavel + Danka</w:t>
            </w:r>
          </w:p>
          <w:p w14:paraId="1BB6D949" w14:textId="1994A517" w:rsidR="004D76BE" w:rsidRPr="00691C05" w:rsidRDefault="004D76BE" w:rsidP="002458B4">
            <w:pPr>
              <w:rPr>
                <w:lang w:val="nb-NO"/>
              </w:rPr>
            </w:pPr>
          </w:p>
        </w:tc>
        <w:tc>
          <w:tcPr>
            <w:tcW w:w="1788" w:type="dxa"/>
          </w:tcPr>
          <w:p w14:paraId="3FEDB604" w14:textId="31041E95" w:rsidR="00855D1C" w:rsidRDefault="00855D1C">
            <w:r>
              <w:t>14.00</w:t>
            </w:r>
          </w:p>
          <w:p w14:paraId="2579470C" w14:textId="77777777" w:rsidR="00855D1C" w:rsidRDefault="00855D1C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NOII_74 Dějiny překladu</w:t>
            </w:r>
          </w:p>
          <w:p w14:paraId="06225794" w14:textId="77777777" w:rsidR="00AB4A5E" w:rsidRDefault="00AB4A5E">
            <w:pPr>
              <w:rPr>
                <w:color w:val="00B050"/>
              </w:rPr>
            </w:pPr>
          </w:p>
          <w:p w14:paraId="01F90E57" w14:textId="4AA7E2E4" w:rsidR="00AB4A5E" w:rsidRDefault="00AB4A5E">
            <w:r>
              <w:t>L 11</w:t>
            </w:r>
          </w:p>
          <w:p w14:paraId="273B45AC" w14:textId="77777777" w:rsidR="004D76BE" w:rsidRDefault="004D76BE">
            <w:proofErr w:type="spellStart"/>
            <w:r>
              <w:t>Norsk</w:t>
            </w:r>
            <w:proofErr w:type="spellEnd"/>
          </w:p>
          <w:p w14:paraId="50BA8DAD" w14:textId="5896AB6C" w:rsidR="00AB4A5E" w:rsidRDefault="00AB4A5E">
            <w:proofErr w:type="spellStart"/>
            <w:r>
              <w:t>Foredrag</w:t>
            </w:r>
            <w:proofErr w:type="spellEnd"/>
            <w:r>
              <w:t xml:space="preserve"> + </w:t>
            </w:r>
            <w:proofErr w:type="spellStart"/>
            <w:r>
              <w:t>studentinnlegg</w:t>
            </w:r>
            <w:proofErr w:type="spellEnd"/>
          </w:p>
        </w:tc>
        <w:tc>
          <w:tcPr>
            <w:tcW w:w="1779" w:type="dxa"/>
          </w:tcPr>
          <w:p w14:paraId="11D4C495" w14:textId="77777777" w:rsidR="00855D1C" w:rsidRDefault="00855D1C">
            <w:r>
              <w:t>16.00</w:t>
            </w:r>
          </w:p>
          <w:p w14:paraId="2A863337" w14:textId="77777777" w:rsidR="00855D1C" w:rsidRPr="00645304" w:rsidRDefault="00855D1C" w:rsidP="00855D1C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NOII_29 Didaktika norštiny</w:t>
            </w:r>
          </w:p>
          <w:p w14:paraId="53EB5F2E" w14:textId="689DD976" w:rsidR="00855D1C" w:rsidRDefault="00AB4A5E">
            <w:r>
              <w:t>K 21</w:t>
            </w:r>
          </w:p>
          <w:p w14:paraId="6C64235C" w14:textId="0C476DE8" w:rsidR="001C376F" w:rsidRDefault="00691C05" w:rsidP="002458B4">
            <w:proofErr w:type="spellStart"/>
            <w:r>
              <w:t>Teori</w:t>
            </w:r>
            <w:proofErr w:type="spellEnd"/>
            <w:r>
              <w:t xml:space="preserve"> </w:t>
            </w:r>
            <w:r w:rsidR="001C376F">
              <w:t xml:space="preserve">Jan </w:t>
            </w:r>
            <w:proofErr w:type="spellStart"/>
            <w:r w:rsidR="001C376F">
              <w:t>Budňák</w:t>
            </w:r>
            <w:proofErr w:type="spellEnd"/>
            <w:r w:rsidR="001C376F">
              <w:t xml:space="preserve"> (</w:t>
            </w:r>
            <w:proofErr w:type="spellStart"/>
            <w:r w:rsidR="001C376F">
              <w:t>engelsk</w:t>
            </w:r>
            <w:proofErr w:type="spellEnd"/>
            <w:r w:rsidR="001C376F">
              <w:t>)</w:t>
            </w:r>
          </w:p>
        </w:tc>
      </w:tr>
      <w:tr w:rsidR="003553D5" w14:paraId="533233C7" w14:textId="58AD61D4" w:rsidTr="00D23F32">
        <w:tc>
          <w:tcPr>
            <w:tcW w:w="2268" w:type="dxa"/>
          </w:tcPr>
          <w:p w14:paraId="141174D2" w14:textId="77777777" w:rsidR="00855D1C" w:rsidRPr="00645304" w:rsidRDefault="00855D1C" w:rsidP="00855D1C">
            <w:pPr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</w:pPr>
            <w:r w:rsidRPr="00645304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shd w:val="clear" w:color="auto" w:fill="F7F8FC"/>
              </w:rPr>
              <w:t>NOII_292a</w:t>
            </w:r>
            <w:r w:rsidRPr="00645304">
              <w:rPr>
                <w:rFonts w:ascii="Open Sans" w:hAnsi="Open Sans" w:cs="Open Sans"/>
                <w:color w:val="00B050"/>
                <w:sz w:val="20"/>
                <w:szCs w:val="20"/>
                <w:shd w:val="clear" w:color="auto" w:fill="F7F8FC"/>
              </w:rPr>
              <w:t> Psaní odborného a vědeckého textu II</w:t>
            </w:r>
          </w:p>
          <w:p w14:paraId="63350FC6" w14:textId="0BD146D6" w:rsidR="00855D1C" w:rsidRDefault="00AB4A5E">
            <w:r>
              <w:t>K</w:t>
            </w:r>
            <w:r w:rsidR="00691C05">
              <w:t> </w:t>
            </w:r>
            <w:r>
              <w:t>23</w:t>
            </w:r>
          </w:p>
          <w:p w14:paraId="08BCF9EA" w14:textId="67746C57" w:rsidR="00691C05" w:rsidRDefault="00691C05">
            <w:proofErr w:type="spellStart"/>
            <w:r>
              <w:t>Fagskriving</w:t>
            </w:r>
            <w:proofErr w:type="spellEnd"/>
            <w:r>
              <w:t xml:space="preserve"> i </w:t>
            </w:r>
            <w:proofErr w:type="spellStart"/>
            <w:r>
              <w:t>form</w:t>
            </w:r>
            <w:proofErr w:type="spellEnd"/>
            <w:r w:rsidR="00762D49">
              <w:t xml:space="preserve"> </w:t>
            </w:r>
            <w:proofErr w:type="spellStart"/>
            <w:r>
              <w:t>av</w:t>
            </w:r>
            <w:proofErr w:type="spellEnd"/>
            <w:r>
              <w:t> </w:t>
            </w:r>
            <w:proofErr w:type="spellStart"/>
            <w:r>
              <w:t>levering</w:t>
            </w:r>
            <w:proofErr w:type="spellEnd"/>
            <w:r>
              <w:t xml:space="preserve"> </w:t>
            </w:r>
            <w:proofErr w:type="spellStart"/>
            <w:r>
              <w:t>egne</w:t>
            </w:r>
            <w:proofErr w:type="spellEnd"/>
            <w:r>
              <w:t xml:space="preserve"> </w:t>
            </w:r>
            <w:proofErr w:type="spellStart"/>
            <w:r>
              <w:t>tekster</w:t>
            </w:r>
            <w:proofErr w:type="spellEnd"/>
            <w:r>
              <w:t xml:space="preserve"> + </w:t>
            </w:r>
            <w:proofErr w:type="spellStart"/>
            <w:r>
              <w:t>bearbeidelse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teoretiske</w:t>
            </w:r>
            <w:proofErr w:type="spellEnd"/>
            <w:r w:rsidR="00D23F32">
              <w:t xml:space="preserve"> </w:t>
            </w:r>
            <w:proofErr w:type="spellStart"/>
            <w:r>
              <w:t>grunnlag</w:t>
            </w:r>
            <w:proofErr w:type="spellEnd"/>
            <w:r w:rsidR="003553D5">
              <w:t xml:space="preserve"> </w:t>
            </w:r>
          </w:p>
        </w:tc>
        <w:tc>
          <w:tcPr>
            <w:tcW w:w="1799" w:type="dxa"/>
          </w:tcPr>
          <w:p w14:paraId="4DF05105" w14:textId="316E5CD3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NOI_22</w:t>
            </w:r>
          </w:p>
          <w:p w14:paraId="1760F919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Přehled dánské literatury</w:t>
            </w:r>
          </w:p>
          <w:p w14:paraId="3B5039A6" w14:textId="77777777" w:rsidR="00855D1C" w:rsidRDefault="00AB4A5E">
            <w:r>
              <w:t>L 32</w:t>
            </w:r>
          </w:p>
          <w:p w14:paraId="54CC488B" w14:textId="6DD584B4" w:rsidR="00691C05" w:rsidRDefault="00691C05">
            <w:proofErr w:type="spellStart"/>
            <w:r>
              <w:t>Foredrag</w:t>
            </w:r>
            <w:proofErr w:type="spellEnd"/>
            <w:r>
              <w:t xml:space="preserve"> + </w:t>
            </w:r>
            <w:proofErr w:type="spellStart"/>
            <w:r>
              <w:t>hver</w:t>
            </w:r>
            <w:proofErr w:type="spellEnd"/>
            <w:r>
              <w:t xml:space="preserve"> student </w:t>
            </w:r>
            <w:proofErr w:type="spellStart"/>
            <w:r>
              <w:t>presenterer</w:t>
            </w:r>
            <w:proofErr w:type="spellEnd"/>
            <w:r>
              <w:t xml:space="preserve"> en </w:t>
            </w:r>
            <w:proofErr w:type="spellStart"/>
            <w:r>
              <w:t>dansk</w:t>
            </w:r>
            <w:proofErr w:type="spellEnd"/>
            <w:r>
              <w:t xml:space="preserve"> </w:t>
            </w:r>
            <w:proofErr w:type="spellStart"/>
            <w:r>
              <w:t>forfatter</w:t>
            </w:r>
            <w:proofErr w:type="spellEnd"/>
          </w:p>
        </w:tc>
        <w:tc>
          <w:tcPr>
            <w:tcW w:w="2572" w:type="dxa"/>
          </w:tcPr>
          <w:p w14:paraId="1297737B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NOII_084</w:t>
            </w:r>
          </w:p>
          <w:p w14:paraId="573601CF" w14:textId="77777777" w:rsidR="00AB4A5E" w:rsidRPr="00645304" w:rsidRDefault="00AB4A5E" w:rsidP="00AB4A5E">
            <w:pPr>
              <w:rPr>
                <w:color w:val="00B050"/>
              </w:rPr>
            </w:pPr>
            <w:r w:rsidRPr="00645304">
              <w:rPr>
                <w:color w:val="00B050"/>
              </w:rPr>
              <w:t>Norská konverzace</w:t>
            </w:r>
          </w:p>
          <w:p w14:paraId="7DA70774" w14:textId="77777777" w:rsidR="00855D1C" w:rsidRDefault="00AB4A5E">
            <w:r>
              <w:t>L 21</w:t>
            </w:r>
          </w:p>
          <w:p w14:paraId="271390C2" w14:textId="77777777" w:rsidR="00691C05" w:rsidRDefault="00691C05"/>
          <w:p w14:paraId="3C07E1BA" w14:textId="0119136B" w:rsidR="00691C05" w:rsidRDefault="00691C05">
            <w:r>
              <w:t xml:space="preserve">Lucie </w:t>
            </w:r>
            <w:proofErr w:type="spellStart"/>
            <w:r>
              <w:t>Taraldsen</w:t>
            </w:r>
            <w:proofErr w:type="spellEnd"/>
            <w:r>
              <w:t xml:space="preserve"> Medová + prof. </w:t>
            </w:r>
            <w:proofErr w:type="spellStart"/>
            <w:r w:rsidR="003553D5">
              <w:t>Taraldsen</w:t>
            </w:r>
            <w:proofErr w:type="spellEnd"/>
          </w:p>
        </w:tc>
        <w:tc>
          <w:tcPr>
            <w:tcW w:w="1788" w:type="dxa"/>
          </w:tcPr>
          <w:p w14:paraId="156B5F42" w14:textId="77777777" w:rsidR="00855D1C" w:rsidRDefault="00855D1C"/>
        </w:tc>
        <w:tc>
          <w:tcPr>
            <w:tcW w:w="1779" w:type="dxa"/>
          </w:tcPr>
          <w:p w14:paraId="0E8EE0F4" w14:textId="77777777" w:rsidR="00855D1C" w:rsidRDefault="00855D1C"/>
        </w:tc>
      </w:tr>
    </w:tbl>
    <w:p w14:paraId="45884419" w14:textId="77777777" w:rsidR="00C338AF" w:rsidRDefault="00C338AF"/>
    <w:p w14:paraId="24A4D002" w14:textId="60500A36" w:rsidR="003C0AAB" w:rsidRDefault="003C0AAB">
      <w:r>
        <w:t>Pozor: Kredity B (4)</w:t>
      </w:r>
    </w:p>
    <w:p w14:paraId="55ADE96B" w14:textId="5681787E" w:rsidR="003C0AAB" w:rsidRDefault="003C0AAB" w:rsidP="003C0AAB">
      <w:r>
        <w:t>Úterý</w:t>
      </w:r>
      <w:r w:rsidR="00762D49">
        <w:t xml:space="preserve"> v</w:t>
      </w:r>
      <w:r w:rsidR="004D76BE">
        <w:t> </w:t>
      </w:r>
      <w:r w:rsidR="00762D49">
        <w:t>8</w:t>
      </w:r>
      <w:r w:rsidR="004D76BE">
        <w:t>.15</w:t>
      </w:r>
      <w:r w:rsidR="00762D49">
        <w:t xml:space="preserve"> hod. v K 23</w:t>
      </w:r>
      <w:r>
        <w:t xml:space="preserve">: Pouze v následujících termínech (5X) Četba Olav </w:t>
      </w:r>
      <w:proofErr w:type="spellStart"/>
      <w:r>
        <w:t>Audunss</w:t>
      </w:r>
      <w:r w:rsidR="00A02AB9">
        <w:t>ø</w:t>
      </w:r>
      <w:r>
        <w:t>n</w:t>
      </w:r>
      <w:proofErr w:type="spellEnd"/>
      <w:r w:rsidR="001E5228">
        <w:t xml:space="preserve"> I + II</w:t>
      </w:r>
      <w:r w:rsidR="00A02AB9">
        <w:t>.</w:t>
      </w:r>
    </w:p>
    <w:p w14:paraId="0BE09739" w14:textId="77777777" w:rsidR="003C0AAB" w:rsidRDefault="003C0AAB" w:rsidP="003C0AAB">
      <w:pPr>
        <w:rPr>
          <w:sz w:val="26"/>
          <w:szCs w:val="28"/>
        </w:rPr>
      </w:pPr>
      <w:r>
        <w:rPr>
          <w:sz w:val="26"/>
          <w:szCs w:val="28"/>
        </w:rPr>
        <w:t>21/2, 7/3, 21/3, 4/4, 2/5.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AB" w14:paraId="525988FE" w14:textId="77777777" w:rsidTr="003C0AA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2805" w14:textId="77777777" w:rsidR="003C0AAB" w:rsidRDefault="003C0AAB">
            <w:r>
              <w:t>8 hod. v K 23</w:t>
            </w:r>
          </w:p>
          <w:p w14:paraId="094CEC22" w14:textId="3F3E3685" w:rsidR="003C0AAB" w:rsidRDefault="003C0AAB">
            <w:r>
              <w:t>NOII_37</w:t>
            </w:r>
            <w:r w:rsidR="004D76BE">
              <w:t xml:space="preserve"> </w:t>
            </w:r>
            <w:r>
              <w:t xml:space="preserve">Sigrid </w:t>
            </w:r>
            <w:proofErr w:type="spellStart"/>
            <w:r>
              <w:t>Undsetová</w:t>
            </w:r>
            <w:proofErr w:type="spellEnd"/>
            <w:r>
              <w:t xml:space="preserve"> v kontextu skandinávské </w:t>
            </w:r>
            <w:proofErr w:type="gramStart"/>
            <w:r>
              <w:t>literatury</w:t>
            </w:r>
            <w:r w:rsidR="004D76BE">
              <w:t xml:space="preserve"> - </w:t>
            </w:r>
            <w:proofErr w:type="spellStart"/>
            <w:r w:rsidR="004D76BE">
              <w:t>tsjekkisk</w:t>
            </w:r>
            <w:proofErr w:type="spellEnd"/>
            <w:proofErr w:type="gramEnd"/>
          </w:p>
          <w:p w14:paraId="3E475A21" w14:textId="3A837BB6" w:rsidR="003C0AAB" w:rsidRDefault="003C0AAB">
            <w:r>
              <w:t>Kredity B (4)</w:t>
            </w:r>
            <w:r w:rsidR="004D76BE">
              <w:t xml:space="preserve"> </w:t>
            </w:r>
            <w:r>
              <w:t xml:space="preserve">Uzavření: </w:t>
            </w:r>
            <w:r w:rsidR="00762D49">
              <w:t>četba</w:t>
            </w:r>
            <w:r w:rsidR="002458B4">
              <w:t xml:space="preserve"> a</w:t>
            </w:r>
            <w:r w:rsidR="00762D49">
              <w:t xml:space="preserve"> test, nikoliv esej.</w:t>
            </w:r>
          </w:p>
        </w:tc>
      </w:tr>
    </w:tbl>
    <w:p w14:paraId="01C9D415" w14:textId="3154638F" w:rsidR="003E2EB8" w:rsidRDefault="003E2EB8"/>
    <w:sectPr w:rsidR="003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614B"/>
    <w:multiLevelType w:val="hybridMultilevel"/>
    <w:tmpl w:val="7340F3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B8"/>
    <w:rsid w:val="000409DC"/>
    <w:rsid w:val="00154D96"/>
    <w:rsid w:val="001C376F"/>
    <w:rsid w:val="001E5228"/>
    <w:rsid w:val="002458B4"/>
    <w:rsid w:val="002C44C5"/>
    <w:rsid w:val="003553D5"/>
    <w:rsid w:val="003C0AAB"/>
    <w:rsid w:val="003E2EB8"/>
    <w:rsid w:val="004D76BE"/>
    <w:rsid w:val="00655C3D"/>
    <w:rsid w:val="00691C05"/>
    <w:rsid w:val="00700DFB"/>
    <w:rsid w:val="00716FBB"/>
    <w:rsid w:val="00762D49"/>
    <w:rsid w:val="00855D1C"/>
    <w:rsid w:val="00916E0D"/>
    <w:rsid w:val="00A02AB9"/>
    <w:rsid w:val="00A43242"/>
    <w:rsid w:val="00AB4A5E"/>
    <w:rsid w:val="00C338AF"/>
    <w:rsid w:val="00C55439"/>
    <w:rsid w:val="00D23F32"/>
    <w:rsid w:val="00D609BC"/>
    <w:rsid w:val="00E24834"/>
    <w:rsid w:val="00E56596"/>
    <w:rsid w:val="00E8786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799"/>
  <w15:chartTrackingRefBased/>
  <w15:docId w15:val="{9C1239A9-65EA-4C22-B369-D7DCE4F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2022-02-13T10:18:00Z</dcterms:created>
  <dcterms:modified xsi:type="dcterms:W3CDTF">2022-02-13T10:18:00Z</dcterms:modified>
</cp:coreProperties>
</file>