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D955" w14:textId="16EA3D55" w:rsidR="000164CD" w:rsidRDefault="000164CD">
      <w:proofErr w:type="spellStart"/>
      <w:r>
        <w:t>Souhrný</w:t>
      </w:r>
      <w:proofErr w:type="spellEnd"/>
      <w:r>
        <w:t xml:space="preserve"> zákon</w:t>
      </w:r>
    </w:p>
    <w:p w14:paraId="0C9D1399" w14:textId="012A4807" w:rsidR="00B91D84" w:rsidRDefault="006001E6">
      <w:proofErr w:type="spellStart"/>
      <w:r w:rsidRPr="006001E6">
        <w:t>Als</w:t>
      </w:r>
      <w:proofErr w:type="spellEnd"/>
      <w:r w:rsidRPr="006001E6">
        <w:t xml:space="preserve"> Artikel- oder </w:t>
      </w:r>
      <w:proofErr w:type="spellStart"/>
      <w:r w:rsidRPr="006001E6">
        <w:t>Mantelgesetz</w:t>
      </w:r>
      <w:proofErr w:type="spellEnd"/>
      <w:r w:rsidRPr="006001E6">
        <w:t xml:space="preserve"> </w:t>
      </w:r>
      <w:proofErr w:type="spellStart"/>
      <w:r w:rsidRPr="006001E6">
        <w:t>wird</w:t>
      </w:r>
      <w:proofErr w:type="spellEnd"/>
      <w:r w:rsidRPr="006001E6">
        <w:t xml:space="preserve"> in der </w:t>
      </w:r>
      <w:proofErr w:type="spellStart"/>
      <w:r w:rsidRPr="006001E6">
        <w:t>Gesetzgebungspraxis</w:t>
      </w:r>
      <w:proofErr w:type="spellEnd"/>
      <w:r w:rsidRPr="006001E6">
        <w:t xml:space="preserve"> der </w:t>
      </w:r>
      <w:proofErr w:type="spellStart"/>
      <w:r w:rsidRPr="006001E6">
        <w:t>Bundesrepublik</w:t>
      </w:r>
      <w:proofErr w:type="spellEnd"/>
      <w:r w:rsidRPr="006001E6">
        <w:t xml:space="preserve"> </w:t>
      </w:r>
      <w:proofErr w:type="spellStart"/>
      <w:r w:rsidRPr="006001E6">
        <w:t>Deutschland</w:t>
      </w:r>
      <w:proofErr w:type="spellEnd"/>
      <w:r w:rsidRPr="006001E6">
        <w:t xml:space="preserve"> </w:t>
      </w:r>
      <w:proofErr w:type="spellStart"/>
      <w:r w:rsidRPr="006001E6">
        <w:t>ein</w:t>
      </w:r>
      <w:proofErr w:type="spellEnd"/>
      <w:r w:rsidRPr="006001E6">
        <w:t xml:space="preserve"> </w:t>
      </w:r>
      <w:proofErr w:type="spellStart"/>
      <w:r w:rsidRPr="006001E6">
        <w:t>Gesetz</w:t>
      </w:r>
      <w:proofErr w:type="spellEnd"/>
      <w:r w:rsidRPr="006001E6">
        <w:t xml:space="preserve"> </w:t>
      </w:r>
      <w:proofErr w:type="spellStart"/>
      <w:r w:rsidRPr="006001E6">
        <w:t>bezeichnet</w:t>
      </w:r>
      <w:proofErr w:type="spellEnd"/>
      <w:r w:rsidRPr="006001E6">
        <w:t xml:space="preserve">, das </w:t>
      </w:r>
      <w:proofErr w:type="spellStart"/>
      <w:r w:rsidRPr="006001E6">
        <w:t>gleichzeitig</w:t>
      </w:r>
      <w:proofErr w:type="spellEnd"/>
      <w:r w:rsidRPr="006001E6">
        <w:t xml:space="preserve"> </w:t>
      </w:r>
      <w:proofErr w:type="spellStart"/>
      <w:r w:rsidRPr="006001E6">
        <w:t>mehrere</w:t>
      </w:r>
      <w:proofErr w:type="spellEnd"/>
      <w:r w:rsidRPr="006001E6">
        <w:t xml:space="preserve"> </w:t>
      </w:r>
      <w:proofErr w:type="spellStart"/>
      <w:r w:rsidRPr="006001E6">
        <w:t>Gesetze</w:t>
      </w:r>
      <w:proofErr w:type="spellEnd"/>
      <w:r w:rsidRPr="006001E6">
        <w:t xml:space="preserve"> oder </w:t>
      </w:r>
      <w:proofErr w:type="spellStart"/>
      <w:r w:rsidRPr="006001E6">
        <w:t>sehr</w:t>
      </w:r>
      <w:proofErr w:type="spellEnd"/>
      <w:r w:rsidRPr="006001E6">
        <w:t xml:space="preserve"> </w:t>
      </w:r>
      <w:proofErr w:type="spellStart"/>
      <w:r w:rsidRPr="006001E6">
        <w:t>unterschiedliche</w:t>
      </w:r>
      <w:proofErr w:type="spellEnd"/>
      <w:r w:rsidRPr="006001E6">
        <w:t xml:space="preserve"> </w:t>
      </w:r>
      <w:proofErr w:type="spellStart"/>
      <w:r w:rsidRPr="006001E6">
        <w:t>Inhalte</w:t>
      </w:r>
      <w:proofErr w:type="spellEnd"/>
      <w:r w:rsidRPr="006001E6">
        <w:t xml:space="preserve"> in </w:t>
      </w:r>
      <w:proofErr w:type="spellStart"/>
      <w:r w:rsidRPr="006001E6">
        <w:t>sich</w:t>
      </w:r>
      <w:proofErr w:type="spellEnd"/>
      <w:r w:rsidRPr="006001E6">
        <w:t xml:space="preserve"> </w:t>
      </w:r>
      <w:proofErr w:type="spellStart"/>
      <w:r w:rsidRPr="006001E6">
        <w:t>vereint</w:t>
      </w:r>
      <w:proofErr w:type="spellEnd"/>
      <w:r w:rsidRPr="006001E6">
        <w:t xml:space="preserve">. </w:t>
      </w:r>
      <w:proofErr w:type="spellStart"/>
      <w:r w:rsidRPr="006001E6">
        <w:t>Meist</w:t>
      </w:r>
      <w:proofErr w:type="spellEnd"/>
      <w:r w:rsidRPr="006001E6">
        <w:t xml:space="preserve"> </w:t>
      </w:r>
      <w:proofErr w:type="spellStart"/>
      <w:r w:rsidRPr="006001E6">
        <w:t>werden</w:t>
      </w:r>
      <w:proofErr w:type="spellEnd"/>
      <w:r w:rsidRPr="006001E6">
        <w:t xml:space="preserve"> </w:t>
      </w:r>
      <w:proofErr w:type="spellStart"/>
      <w:r w:rsidRPr="006001E6">
        <w:t>damit</w:t>
      </w:r>
      <w:proofErr w:type="spellEnd"/>
      <w:r w:rsidRPr="006001E6">
        <w:t xml:space="preserve"> </w:t>
      </w:r>
      <w:proofErr w:type="spellStart"/>
      <w:r w:rsidRPr="006001E6">
        <w:t>Änderungsgesetze</w:t>
      </w:r>
      <w:proofErr w:type="spellEnd"/>
      <w:r w:rsidRPr="006001E6">
        <w:t xml:space="preserve"> </w:t>
      </w:r>
      <w:proofErr w:type="spellStart"/>
      <w:r w:rsidRPr="006001E6">
        <w:t>bezeichnet</w:t>
      </w:r>
      <w:proofErr w:type="spellEnd"/>
      <w:r w:rsidRPr="006001E6">
        <w:t xml:space="preserve">, </w:t>
      </w:r>
      <w:proofErr w:type="spellStart"/>
      <w:r w:rsidRPr="006001E6">
        <w:t>die</w:t>
      </w:r>
      <w:proofErr w:type="spellEnd"/>
      <w:r w:rsidRPr="006001E6">
        <w:t xml:space="preserve"> </w:t>
      </w:r>
      <w:proofErr w:type="spellStart"/>
      <w:r w:rsidRPr="006001E6">
        <w:t>eine</w:t>
      </w:r>
      <w:proofErr w:type="spellEnd"/>
      <w:r w:rsidRPr="006001E6">
        <w:t xml:space="preserve"> </w:t>
      </w:r>
      <w:proofErr w:type="spellStart"/>
      <w:r w:rsidRPr="006001E6">
        <w:t>bestimmte</w:t>
      </w:r>
      <w:proofErr w:type="spellEnd"/>
      <w:r w:rsidRPr="006001E6">
        <w:t xml:space="preserve"> </w:t>
      </w:r>
      <w:proofErr w:type="spellStart"/>
      <w:r w:rsidRPr="006001E6">
        <w:t>Thematik</w:t>
      </w:r>
      <w:proofErr w:type="spellEnd"/>
      <w:r w:rsidRPr="006001E6">
        <w:t xml:space="preserve"> in </w:t>
      </w:r>
      <w:proofErr w:type="spellStart"/>
      <w:r w:rsidRPr="006001E6">
        <w:t>einer</w:t>
      </w:r>
      <w:proofErr w:type="spellEnd"/>
      <w:r w:rsidRPr="006001E6">
        <w:t xml:space="preserve"> </w:t>
      </w:r>
      <w:proofErr w:type="spellStart"/>
      <w:r w:rsidRPr="006001E6">
        <w:t>ganzen</w:t>
      </w:r>
      <w:proofErr w:type="spellEnd"/>
      <w:r w:rsidRPr="006001E6">
        <w:t xml:space="preserve"> </w:t>
      </w:r>
      <w:proofErr w:type="spellStart"/>
      <w:r w:rsidRPr="006001E6">
        <w:t>Reihe</w:t>
      </w:r>
      <w:proofErr w:type="spellEnd"/>
      <w:r w:rsidRPr="006001E6">
        <w:t xml:space="preserve"> von </w:t>
      </w:r>
      <w:proofErr w:type="spellStart"/>
      <w:r w:rsidRPr="006001E6">
        <w:t>Rechtsgebieten</w:t>
      </w:r>
      <w:proofErr w:type="spellEnd"/>
      <w:r w:rsidRPr="006001E6">
        <w:t xml:space="preserve"> </w:t>
      </w:r>
      <w:proofErr w:type="spellStart"/>
      <w:r w:rsidRPr="006001E6">
        <w:t>ändern</w:t>
      </w:r>
      <w:proofErr w:type="spellEnd"/>
      <w:r w:rsidRPr="006001E6">
        <w:t xml:space="preserve">. </w:t>
      </w:r>
      <w:proofErr w:type="spellStart"/>
      <w:r w:rsidRPr="006001E6">
        <w:t>Für</w:t>
      </w:r>
      <w:proofErr w:type="spellEnd"/>
      <w:r w:rsidRPr="006001E6">
        <w:t xml:space="preserve"> </w:t>
      </w:r>
      <w:proofErr w:type="spellStart"/>
      <w:r w:rsidRPr="006001E6">
        <w:t>diese</w:t>
      </w:r>
      <w:proofErr w:type="spellEnd"/>
      <w:r w:rsidRPr="006001E6">
        <w:t xml:space="preserve"> </w:t>
      </w:r>
      <w:proofErr w:type="spellStart"/>
      <w:r w:rsidRPr="006001E6">
        <w:t>Gesetze</w:t>
      </w:r>
      <w:proofErr w:type="spellEnd"/>
      <w:r w:rsidRPr="006001E6">
        <w:t xml:space="preserve"> </w:t>
      </w:r>
      <w:proofErr w:type="spellStart"/>
      <w:r w:rsidRPr="006001E6">
        <w:t>ist</w:t>
      </w:r>
      <w:proofErr w:type="spellEnd"/>
      <w:r w:rsidRPr="006001E6">
        <w:t xml:space="preserve"> </w:t>
      </w:r>
      <w:proofErr w:type="spellStart"/>
      <w:r w:rsidRPr="006001E6">
        <w:t>auch</w:t>
      </w:r>
      <w:proofErr w:type="spellEnd"/>
      <w:r w:rsidRPr="006001E6">
        <w:t xml:space="preserve"> </w:t>
      </w:r>
      <w:proofErr w:type="spellStart"/>
      <w:r w:rsidRPr="006001E6">
        <w:t>die</w:t>
      </w:r>
      <w:proofErr w:type="spellEnd"/>
      <w:r w:rsidRPr="006001E6">
        <w:t xml:space="preserve"> </w:t>
      </w:r>
      <w:proofErr w:type="spellStart"/>
      <w:r w:rsidRPr="006001E6">
        <w:t>Bezeichnung</w:t>
      </w:r>
      <w:proofErr w:type="spellEnd"/>
      <w:r w:rsidRPr="006001E6">
        <w:t xml:space="preserve"> „</w:t>
      </w:r>
      <w:proofErr w:type="spellStart"/>
      <w:r w:rsidRPr="006001E6">
        <w:t>Omnibusgesetz</w:t>
      </w:r>
      <w:proofErr w:type="spellEnd"/>
      <w:r w:rsidRPr="006001E6">
        <w:t xml:space="preserve">“ </w:t>
      </w:r>
      <w:proofErr w:type="spellStart"/>
      <w:r w:rsidRPr="006001E6">
        <w:t>gebräuchlich</w:t>
      </w:r>
      <w:proofErr w:type="spellEnd"/>
      <w:r w:rsidRPr="006001E6">
        <w:t xml:space="preserve">, </w:t>
      </w:r>
      <w:proofErr w:type="spellStart"/>
      <w:r w:rsidRPr="006001E6">
        <w:t>wenn</w:t>
      </w:r>
      <w:proofErr w:type="spellEnd"/>
      <w:r w:rsidRPr="006001E6">
        <w:t xml:space="preserve"> </w:t>
      </w:r>
      <w:proofErr w:type="spellStart"/>
      <w:r w:rsidRPr="006001E6">
        <w:t>Änderungen</w:t>
      </w:r>
      <w:proofErr w:type="spellEnd"/>
      <w:r w:rsidRPr="006001E6">
        <w:t xml:space="preserve">, </w:t>
      </w:r>
      <w:proofErr w:type="spellStart"/>
      <w:r w:rsidRPr="006001E6">
        <w:t>die</w:t>
      </w:r>
      <w:proofErr w:type="spellEnd"/>
      <w:r w:rsidRPr="006001E6">
        <w:t xml:space="preserve"> </w:t>
      </w:r>
      <w:proofErr w:type="spellStart"/>
      <w:r w:rsidRPr="006001E6">
        <w:t>inhaltlich</w:t>
      </w:r>
      <w:proofErr w:type="spellEnd"/>
      <w:r w:rsidRPr="006001E6">
        <w:t xml:space="preserve"> </w:t>
      </w:r>
      <w:proofErr w:type="spellStart"/>
      <w:r w:rsidRPr="006001E6">
        <w:t>nichts</w:t>
      </w:r>
      <w:proofErr w:type="spellEnd"/>
      <w:r w:rsidRPr="006001E6">
        <w:t xml:space="preserve"> </w:t>
      </w:r>
      <w:proofErr w:type="spellStart"/>
      <w:r w:rsidRPr="006001E6">
        <w:t>miteinander</w:t>
      </w:r>
      <w:proofErr w:type="spellEnd"/>
      <w:r w:rsidRPr="006001E6">
        <w:t xml:space="preserve"> </w:t>
      </w:r>
      <w:proofErr w:type="spellStart"/>
      <w:r w:rsidRPr="006001E6">
        <w:t>zu</w:t>
      </w:r>
      <w:proofErr w:type="spellEnd"/>
      <w:r w:rsidRPr="006001E6">
        <w:t xml:space="preserve"> </w:t>
      </w:r>
      <w:proofErr w:type="spellStart"/>
      <w:r w:rsidRPr="006001E6">
        <w:t>tun</w:t>
      </w:r>
      <w:proofErr w:type="spellEnd"/>
      <w:r w:rsidRPr="006001E6">
        <w:t xml:space="preserve"> </w:t>
      </w:r>
      <w:proofErr w:type="spellStart"/>
      <w:r w:rsidRPr="006001E6">
        <w:t>haben</w:t>
      </w:r>
      <w:proofErr w:type="spellEnd"/>
      <w:r w:rsidRPr="006001E6">
        <w:t xml:space="preserve">, in </w:t>
      </w:r>
      <w:proofErr w:type="spellStart"/>
      <w:r w:rsidRPr="006001E6">
        <w:t>einem</w:t>
      </w:r>
      <w:proofErr w:type="spellEnd"/>
      <w:r w:rsidRPr="006001E6">
        <w:t xml:space="preserve"> </w:t>
      </w:r>
      <w:proofErr w:type="spellStart"/>
      <w:r w:rsidRPr="006001E6">
        <w:t>Artikelgesetz</w:t>
      </w:r>
      <w:proofErr w:type="spellEnd"/>
      <w:r w:rsidRPr="006001E6">
        <w:t xml:space="preserve"> </w:t>
      </w:r>
      <w:proofErr w:type="spellStart"/>
      <w:r w:rsidRPr="006001E6">
        <w:t>zusammengefasst</w:t>
      </w:r>
      <w:proofErr w:type="spellEnd"/>
      <w:r w:rsidRPr="006001E6">
        <w:t xml:space="preserve"> </w:t>
      </w:r>
      <w:proofErr w:type="spellStart"/>
      <w:r w:rsidRPr="006001E6">
        <w:t>werden</w:t>
      </w:r>
      <w:proofErr w:type="spellEnd"/>
      <w:r w:rsidRPr="006001E6">
        <w:t>.</w:t>
      </w:r>
    </w:p>
    <w:p w14:paraId="4D9D4D49" w14:textId="77777777" w:rsidR="006001E6" w:rsidRDefault="006001E6" w:rsidP="006001E6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Federal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</w:t>
      </w:r>
      <w:proofErr w:type="spellStart"/>
      <w:r>
        <w:t>Germany</w:t>
      </w:r>
      <w:proofErr w:type="spellEnd"/>
      <w:r>
        <w:t xml:space="preserve">, a </w:t>
      </w:r>
      <w:proofErr w:type="spellStart"/>
      <w:r>
        <w:t>law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simultaneously</w:t>
      </w:r>
      <w:proofErr w:type="spellEnd"/>
      <w:r>
        <w:t xml:space="preserve"> </w:t>
      </w:r>
      <w:proofErr w:type="spellStart"/>
      <w:r>
        <w:t>combines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or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or </w:t>
      </w:r>
      <w:proofErr w:type="spellStart"/>
      <w:r>
        <w:t>jacket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In most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to </w:t>
      </w:r>
      <w:proofErr w:type="spellStart"/>
      <w:r>
        <w:t>amending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change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in a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of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term "</w:t>
      </w:r>
      <w:proofErr w:type="spellStart"/>
      <w:r>
        <w:t>omnibus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"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to do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content</w:t>
      </w:r>
      <w:proofErr w:type="spellEnd"/>
      <w:r>
        <w:t xml:space="preserve"> are </w:t>
      </w:r>
      <w:proofErr w:type="spellStart"/>
      <w:r>
        <w:t>combined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law</w:t>
      </w:r>
      <w:proofErr w:type="spellEnd"/>
      <w:r>
        <w:t>.</w:t>
      </w:r>
    </w:p>
    <w:p w14:paraId="25F7E5FE" w14:textId="77777777" w:rsidR="000164CD" w:rsidRDefault="000164CD" w:rsidP="000164CD">
      <w:r>
        <w:t xml:space="preserve">V </w:t>
      </w:r>
      <w:proofErr w:type="spellStart"/>
      <w:r>
        <w:t>legislativní</w:t>
      </w:r>
      <w:proofErr w:type="spellEnd"/>
      <w:r>
        <w:t xml:space="preserve"> praxi Spolkové republiky </w:t>
      </w:r>
      <w:proofErr w:type="spellStart"/>
      <w:r>
        <w:t>Německo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zákon, </w:t>
      </w:r>
      <w:proofErr w:type="spellStart"/>
      <w:r>
        <w:t>který</w:t>
      </w:r>
      <w:proofErr w:type="spellEnd"/>
      <w:r>
        <w:t xml:space="preserve"> v </w:t>
      </w:r>
      <w:proofErr w:type="spellStart"/>
      <w:r>
        <w:t>sobě</w:t>
      </w:r>
      <w:proofErr w:type="spellEnd"/>
      <w:r>
        <w:t xml:space="preserve"> spojuje </w:t>
      </w:r>
      <w:proofErr w:type="spellStart"/>
      <w:r>
        <w:t>několik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nebo zákony </w:t>
      </w:r>
      <w:proofErr w:type="spellStart"/>
      <w:r>
        <w:t>velmi</w:t>
      </w:r>
      <w:proofErr w:type="spellEnd"/>
      <w:r>
        <w:t xml:space="preserve"> odlišného obsahu, označuje </w:t>
      </w:r>
      <w:proofErr w:type="spellStart"/>
      <w:r>
        <w:t>jako</w:t>
      </w:r>
      <w:proofErr w:type="spellEnd"/>
      <w:r>
        <w:t xml:space="preserve"> </w:t>
      </w:r>
      <w:r w:rsidRPr="000164CD">
        <w:rPr>
          <w:b/>
          <w:bCs/>
        </w:rPr>
        <w:t>paragrafový zákon</w:t>
      </w:r>
      <w:r>
        <w:t xml:space="preserve"> nebo zákon v </w:t>
      </w:r>
      <w:proofErr w:type="spellStart"/>
      <w:r>
        <w:t>kabátě</w:t>
      </w:r>
      <w:proofErr w:type="spellEnd"/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většině</w:t>
      </w:r>
      <w:proofErr w:type="spellEnd"/>
      <w:r>
        <w:t xml:space="preserve"> </w:t>
      </w:r>
      <w:proofErr w:type="spellStart"/>
      <w:r>
        <w:t>případů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jedná o novelizační zákony,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mění</w:t>
      </w:r>
      <w:proofErr w:type="spellEnd"/>
      <w:r>
        <w:t xml:space="preserve"> určitý </w:t>
      </w:r>
      <w:proofErr w:type="spellStart"/>
      <w:r>
        <w:t>předmět</w:t>
      </w:r>
      <w:proofErr w:type="spellEnd"/>
      <w:r>
        <w:t xml:space="preserve"> v celé </w:t>
      </w:r>
      <w:proofErr w:type="spellStart"/>
      <w:r>
        <w:t>řadě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oblastí. Pro </w:t>
      </w:r>
      <w:proofErr w:type="spellStart"/>
      <w:r>
        <w:t>tyto</w:t>
      </w:r>
      <w:proofErr w:type="spellEnd"/>
      <w:r>
        <w:t xml:space="preserve"> zákony </w:t>
      </w:r>
      <w:proofErr w:type="spellStart"/>
      <w:r>
        <w:t>se</w:t>
      </w:r>
      <w:proofErr w:type="spellEnd"/>
      <w:r>
        <w:t xml:space="preserve"> také </w:t>
      </w:r>
      <w:proofErr w:type="spellStart"/>
      <w:r>
        <w:t>běžně</w:t>
      </w:r>
      <w:proofErr w:type="spellEnd"/>
      <w:r>
        <w:t xml:space="preserve"> </w:t>
      </w:r>
      <w:proofErr w:type="spellStart"/>
      <w:r>
        <w:t>používá</w:t>
      </w:r>
      <w:proofErr w:type="spellEnd"/>
      <w:r>
        <w:t xml:space="preserve"> termín </w:t>
      </w:r>
      <w:r w:rsidRPr="000164CD">
        <w:rPr>
          <w:b/>
          <w:bCs/>
        </w:rPr>
        <w:t>"</w:t>
      </w:r>
      <w:proofErr w:type="spellStart"/>
      <w:r w:rsidRPr="000164CD">
        <w:rPr>
          <w:b/>
          <w:bCs/>
        </w:rPr>
        <w:t>souhrnný</w:t>
      </w:r>
      <w:proofErr w:type="spellEnd"/>
      <w:r w:rsidRPr="000164CD">
        <w:rPr>
          <w:b/>
          <w:bCs/>
        </w:rPr>
        <w:t xml:space="preserve"> zákon"</w:t>
      </w:r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v </w:t>
      </w:r>
      <w:proofErr w:type="spellStart"/>
      <w:r>
        <w:t>článkovém</w:t>
      </w:r>
      <w:proofErr w:type="spellEnd"/>
      <w:r>
        <w:t xml:space="preserve"> </w:t>
      </w:r>
      <w:proofErr w:type="spellStart"/>
      <w:r>
        <w:t>zákoně</w:t>
      </w:r>
      <w:proofErr w:type="spellEnd"/>
      <w:r>
        <w:t xml:space="preserve"> </w:t>
      </w:r>
      <w:proofErr w:type="spellStart"/>
      <w:r>
        <w:t>spojují</w:t>
      </w:r>
      <w:proofErr w:type="spellEnd"/>
      <w:r>
        <w:t xml:space="preserve"> novely, </w:t>
      </w:r>
      <w:proofErr w:type="spellStart"/>
      <w:r>
        <w:t>které</w:t>
      </w:r>
      <w:proofErr w:type="spellEnd"/>
      <w:r>
        <w:t xml:space="preserve"> spolu </w:t>
      </w:r>
      <w:proofErr w:type="spellStart"/>
      <w:r>
        <w:t>obsahově</w:t>
      </w:r>
      <w:proofErr w:type="spellEnd"/>
      <w:r>
        <w:t xml:space="preserve"> nijak </w:t>
      </w:r>
      <w:proofErr w:type="spellStart"/>
      <w:r>
        <w:t>nesouvisejí</w:t>
      </w:r>
      <w:proofErr w:type="spellEnd"/>
      <w:r>
        <w:t>.</w:t>
      </w:r>
    </w:p>
    <w:p w14:paraId="3304E5DF" w14:textId="4D394861" w:rsidR="006001E6" w:rsidRDefault="000164CD" w:rsidP="000164CD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Style w:val="muxgbd"/>
          <w:rFonts w:ascii="Arial" w:hAnsi="Arial" w:cs="Arial"/>
          <w:color w:val="70757A"/>
          <w:sz w:val="21"/>
          <w:szCs w:val="21"/>
          <w:shd w:val="clear" w:color="auto" w:fill="FFFFFF"/>
        </w:rPr>
        <w:t>7. 1. 2021 — 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Změnil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se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také zákon o rezervách,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dále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byl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vydán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proofErr w:type="spellStart"/>
      <w:r>
        <w:rPr>
          <w:rStyle w:val="Zdrazn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souhrnný</w:t>
      </w:r>
      <w:proofErr w:type="spellEnd"/>
      <w:r>
        <w:rPr>
          <w:rStyle w:val="Zdrazn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zákon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 o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kompenzačním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bonusu</w:t>
      </w:r>
    </w:p>
    <w:p w14:paraId="299A828A" w14:textId="1EC7131A" w:rsidR="000164CD" w:rsidRDefault="000164CD" w:rsidP="000164CD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proofErr w:type="spellStart"/>
      <w:r>
        <w:rPr>
          <w:rStyle w:val="Zdrazn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souhrnný</w:t>
      </w:r>
      <w:proofErr w:type="spellEnd"/>
      <w:r>
        <w:rPr>
          <w:rStyle w:val="Zdrazn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zákon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 o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ochraně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osobních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údajů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souladu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s 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acquis</w:t>
      </w:r>
      <w:proofErr w:type="spellEnd"/>
    </w:p>
    <w:p w14:paraId="0CC3E69E" w14:textId="6B30B5EB" w:rsidR="000164CD" w:rsidRDefault="000164CD" w:rsidP="000164CD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Prezident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Joe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Biden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podepsal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proofErr w:type="spellStart"/>
      <w:r>
        <w:rPr>
          <w:rStyle w:val="Zdrazn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souhrnný</w:t>
      </w:r>
      <w:proofErr w:type="spellEnd"/>
      <w:r>
        <w:rPr>
          <w:rStyle w:val="Zdrazn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zákon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který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financuje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federální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výdaje do konce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stávajícího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fiskálního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roku</w:t>
      </w:r>
    </w:p>
    <w:p w14:paraId="46BFE2FE" w14:textId="657E8770" w:rsidR="000164CD" w:rsidRDefault="000164CD" w:rsidP="000164CD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plán na </w:t>
      </w:r>
      <w:proofErr w:type="spellStart"/>
      <w:r>
        <w:rPr>
          <w:rStyle w:val="Zdrazn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souhrnný</w:t>
      </w:r>
      <w:proofErr w:type="spellEnd"/>
      <w:r>
        <w:rPr>
          <w:rStyle w:val="Zdrazn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zákon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 o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whistleblowerech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 </w:t>
      </w:r>
    </w:p>
    <w:p w14:paraId="421EC248" w14:textId="311021E5" w:rsidR="006879B5" w:rsidRDefault="006879B5" w:rsidP="000164CD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52F10A95" w14:textId="7BED54CC" w:rsidR="006879B5" w:rsidRDefault="006879B5" w:rsidP="000164CD">
      <w:pPr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Fragen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nach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dem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 w:rsidRPr="006879B5">
        <w:rPr>
          <w:rFonts w:ascii="Arial" w:hAnsi="Arial" w:cs="Arial"/>
          <w:b/>
          <w:bCs/>
          <w:color w:val="4B4B4B"/>
          <w:sz w:val="23"/>
          <w:szCs w:val="23"/>
          <w:shd w:val="clear" w:color="auto" w:fill="FFFFFF"/>
        </w:rPr>
        <w:t>mutmaßlichen</w:t>
      </w:r>
      <w:proofErr w:type="spellEnd"/>
      <w:r w:rsidRPr="006879B5">
        <w:rPr>
          <w:rFonts w:ascii="Arial" w:hAnsi="Arial" w:cs="Arial"/>
          <w:b/>
          <w:bCs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 w:rsidRPr="006879B5">
        <w:rPr>
          <w:rFonts w:ascii="Arial" w:hAnsi="Arial" w:cs="Arial"/>
          <w:b/>
          <w:bCs/>
          <w:color w:val="4B4B4B"/>
          <w:sz w:val="23"/>
          <w:szCs w:val="23"/>
          <w:shd w:val="clear" w:color="auto" w:fill="FFFFFF"/>
        </w:rPr>
        <w:t>Willen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stellen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sich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in der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medizinischen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Praxis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sehr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viel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häufiger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als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die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Fragen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zum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Umgang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mit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Patientenverfügungen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nämlich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immer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dann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wenn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keine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Patientenverfügung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vorliegt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oder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aber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wenn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die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Patientenverfügung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nicht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genau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auf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den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aktuellen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Fall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passt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. </w:t>
      </w:r>
    </w:p>
    <w:p w14:paraId="376394D2" w14:textId="77777777" w:rsidR="006879B5" w:rsidRDefault="006879B5" w:rsidP="006879B5">
      <w:proofErr w:type="spellStart"/>
      <w:r>
        <w:t>Rozhodování</w:t>
      </w:r>
      <w:proofErr w:type="spellEnd"/>
      <w:r>
        <w:t xml:space="preserve"> za pacienta neschopného </w:t>
      </w:r>
      <w:proofErr w:type="spellStart"/>
      <w:r>
        <w:t>vyslovit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s ...https://dspace.cuni.cz › </w:t>
      </w:r>
      <w:proofErr w:type="spellStart"/>
      <w:r>
        <w:t>bitstream</w:t>
      </w:r>
      <w:proofErr w:type="spellEnd"/>
      <w:r>
        <w:t xml:space="preserve"> › </w:t>
      </w:r>
      <w:proofErr w:type="spellStart"/>
      <w:r>
        <w:t>handle</w:t>
      </w:r>
      <w:proofErr w:type="spellEnd"/>
    </w:p>
    <w:p w14:paraId="5ADB09F2" w14:textId="04F93673" w:rsidR="006879B5" w:rsidRDefault="006879B5" w:rsidP="006879B5">
      <w:r>
        <w:t xml:space="preserve">T. </w:t>
      </w:r>
      <w:proofErr w:type="spellStart"/>
      <w:r>
        <w:t>Francová</w:t>
      </w:r>
      <w:proofErr w:type="spellEnd"/>
      <w:r>
        <w:t xml:space="preserve"> · 2021 — </w:t>
      </w:r>
      <w:proofErr w:type="spellStart"/>
      <w:r>
        <w:t>Existence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institutů</w:t>
      </w:r>
      <w:proofErr w:type="spellEnd"/>
      <w:r>
        <w:t xml:space="preserve"> umožní </w:t>
      </w:r>
      <w:proofErr w:type="spellStart"/>
      <w:r>
        <w:t>brát</w:t>
      </w:r>
      <w:proofErr w:type="spellEnd"/>
      <w:r>
        <w:t xml:space="preserve"> v </w:t>
      </w:r>
      <w:proofErr w:type="spellStart"/>
      <w:r>
        <w:t>potaz</w:t>
      </w:r>
      <w:proofErr w:type="spellEnd"/>
      <w:r>
        <w:t xml:space="preserve"> </w:t>
      </w:r>
      <w:proofErr w:type="spellStart"/>
      <w:r w:rsidRPr="006879B5">
        <w:rPr>
          <w:b/>
          <w:bCs/>
        </w:rPr>
        <w:t>domnělou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pacienta </w:t>
      </w:r>
      <w:proofErr w:type="spellStart"/>
      <w:r>
        <w:t>kdykoliv</w:t>
      </w:r>
      <w:proofErr w:type="spellEnd"/>
      <w:r>
        <w:t>.</w:t>
      </w:r>
    </w:p>
    <w:p w14:paraId="67AA8336" w14:textId="6DA345B7" w:rsidR="00A42148" w:rsidRDefault="00A42148" w:rsidP="006879B5"/>
    <w:p w14:paraId="2BB66AE1" w14:textId="0A1F4245" w:rsidR="00A42148" w:rsidRDefault="00A42148" w:rsidP="006879B5"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Anschließend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würden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die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Patienten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dem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Facharzt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vorgestellt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, der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eine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Nachuntersuchung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vornehme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und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den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diesbezüglichen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Umfang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nach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seiner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fachärztlichen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Einschätzung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bemesse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Die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Frage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der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Abrechnung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sei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davon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unabhängig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.</w:t>
      </w:r>
    </w:p>
    <w:p w14:paraId="0548FA50" w14:textId="578AC6AD" w:rsidR="00A42148" w:rsidRDefault="00A42148" w:rsidP="006879B5">
      <w:pPr>
        <w:rPr>
          <w:lang w:val="cs-CZ"/>
        </w:rPr>
      </w:pPr>
      <w:r w:rsidRPr="00300BF4">
        <w:rPr>
          <w:lang w:val="cs-CZ"/>
        </w:rPr>
        <w:t xml:space="preserve">několikrát </w:t>
      </w:r>
      <w:r>
        <w:rPr>
          <w:lang w:val="cs-CZ"/>
        </w:rPr>
        <w:t>odkázal na specialisty (radiology i ortopedy)/ poslal ke specialistům</w:t>
      </w:r>
    </w:p>
    <w:p w14:paraId="01F4C89F" w14:textId="26C13336" w:rsidR="00B14436" w:rsidRDefault="00B14436" w:rsidP="006879B5">
      <w:pPr>
        <w:rPr>
          <w:lang w:val="cs-CZ"/>
        </w:rPr>
      </w:pPr>
    </w:p>
    <w:p w14:paraId="5CD661FB" w14:textId="12D8A6CE" w:rsidR="00B14436" w:rsidRDefault="00B14436" w:rsidP="006879B5">
      <w:pPr>
        <w:rPr>
          <w:lang w:val="cs-CZ"/>
        </w:rPr>
      </w:pPr>
      <w:proofErr w:type="spellStart"/>
      <w:r>
        <w:rPr>
          <w:lang w:val="cs-CZ"/>
        </w:rPr>
        <w:t>Ausschlu</w:t>
      </w:r>
      <w:proofErr w:type="spellEnd"/>
      <w:r>
        <w:rPr>
          <w:lang w:val="de-DE"/>
        </w:rPr>
        <w:t>ß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und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Minderung</w:t>
      </w:r>
      <w:proofErr w:type="spellEnd"/>
      <w:r>
        <w:rPr>
          <w:lang w:val="cs-CZ"/>
        </w:rPr>
        <w:t xml:space="preserve"> der </w:t>
      </w:r>
      <w:proofErr w:type="spellStart"/>
      <w:r>
        <w:rPr>
          <w:lang w:val="cs-CZ"/>
        </w:rPr>
        <w:t>Verantwortlichkeit</w:t>
      </w:r>
      <w:proofErr w:type="spellEnd"/>
    </w:p>
    <w:p w14:paraId="1C83D73F" w14:textId="5300244E" w:rsidR="00B14436" w:rsidRDefault="00B14436" w:rsidP="006879B5">
      <w:pPr>
        <w:rPr>
          <w:lang w:val="cs-CZ"/>
        </w:rPr>
      </w:pPr>
      <w:proofErr w:type="spellStart"/>
      <w:r>
        <w:rPr>
          <w:lang w:val="cs-CZ"/>
        </w:rPr>
        <w:t>Fahrlässigkeit</w:t>
      </w:r>
      <w:proofErr w:type="spellEnd"/>
    </w:p>
    <w:p w14:paraId="477DB3D4" w14:textId="50B98868" w:rsidR="00B14436" w:rsidRDefault="00B14436" w:rsidP="006879B5">
      <w:pPr>
        <w:rPr>
          <w:lang w:val="cs-CZ"/>
        </w:rPr>
      </w:pPr>
      <w:proofErr w:type="spellStart"/>
      <w:r>
        <w:rPr>
          <w:lang w:val="cs-CZ"/>
        </w:rPr>
        <w:lastRenderedPageBreak/>
        <w:t>Entgangener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Gewinn</w:t>
      </w:r>
      <w:proofErr w:type="spellEnd"/>
    </w:p>
    <w:p w14:paraId="78B2E33B" w14:textId="586F5ADB" w:rsidR="007824A7" w:rsidRDefault="007824A7" w:rsidP="006879B5">
      <w:pPr>
        <w:rPr>
          <w:lang w:val="cs-CZ"/>
        </w:rPr>
      </w:pPr>
      <w:proofErr w:type="spellStart"/>
      <w:r>
        <w:rPr>
          <w:lang w:val="cs-CZ"/>
        </w:rPr>
        <w:t>Schmerzensgeld</w:t>
      </w:r>
      <w:proofErr w:type="spellEnd"/>
    </w:p>
    <w:p w14:paraId="42FD7467" w14:textId="1939B6F5" w:rsidR="007824A7" w:rsidRDefault="007824A7" w:rsidP="006879B5">
      <w:pPr>
        <w:rPr>
          <w:lang w:val="cs-CZ"/>
        </w:rPr>
      </w:pPr>
      <w:proofErr w:type="spellStart"/>
      <w:r w:rsidRPr="007824A7">
        <w:t>Behandlungsfehler</w:t>
      </w:r>
      <w:proofErr w:type="spellEnd"/>
      <w:r>
        <w:t xml:space="preserve">, </w:t>
      </w:r>
      <w:proofErr w:type="spellStart"/>
      <w:r>
        <w:t>nespr</w:t>
      </w:r>
      <w:r>
        <w:rPr>
          <w:lang w:val="cs-CZ"/>
        </w:rPr>
        <w:t>ávná</w:t>
      </w:r>
      <w:proofErr w:type="spellEnd"/>
      <w:r>
        <w:rPr>
          <w:lang w:val="cs-CZ"/>
        </w:rPr>
        <w:t xml:space="preserve"> léčba</w:t>
      </w:r>
    </w:p>
    <w:p w14:paraId="562C9B49" w14:textId="18B97734" w:rsidR="007824A7" w:rsidRDefault="007824A7" w:rsidP="006879B5">
      <w:pPr>
        <w:rPr>
          <w:lang w:val="cs-CZ"/>
        </w:rPr>
      </w:pPr>
      <w:proofErr w:type="spellStart"/>
      <w:r>
        <w:rPr>
          <w:lang w:val="cs-CZ"/>
        </w:rPr>
        <w:t>Ersatzansprüche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</w:t>
      </w:r>
      <w:r w:rsidRPr="007824A7">
        <w:rPr>
          <w:lang w:val="cs-CZ"/>
        </w:rPr>
        <w:t>ö</w:t>
      </w:r>
      <w:r>
        <w:rPr>
          <w:lang w:val="cs-CZ"/>
        </w:rPr>
        <w:t>tung</w:t>
      </w:r>
      <w:proofErr w:type="spellEnd"/>
      <w:r>
        <w:rPr>
          <w:lang w:val="cs-CZ"/>
        </w:rPr>
        <w:t xml:space="preserve"> </w:t>
      </w:r>
      <w:r w:rsidRPr="007824A7">
        <w:rPr>
          <w:lang w:val="cs-CZ"/>
        </w:rPr>
        <w:t>Nároky na odškodnění v případě usmrcení</w:t>
      </w:r>
    </w:p>
    <w:p w14:paraId="1E1EBF96" w14:textId="1E373D7E" w:rsidR="00324B5B" w:rsidRDefault="00324B5B" w:rsidP="006879B5">
      <w:pPr>
        <w:rPr>
          <w:lang w:val="cs-CZ"/>
        </w:rPr>
      </w:pPr>
      <w:proofErr w:type="spellStart"/>
      <w:r>
        <w:rPr>
          <w:lang w:val="cs-CZ"/>
        </w:rPr>
        <w:t>Unterhaltspflichtig</w:t>
      </w:r>
      <w:proofErr w:type="spellEnd"/>
      <w:r>
        <w:rPr>
          <w:lang w:val="cs-CZ"/>
        </w:rPr>
        <w:t xml:space="preserve"> s vyživovací povinností</w:t>
      </w:r>
    </w:p>
    <w:p w14:paraId="483EC644" w14:textId="77777777" w:rsidR="00324B5B" w:rsidRDefault="00324B5B" w:rsidP="006879B5">
      <w:pPr>
        <w:rPr>
          <w:lang w:val="cs-CZ"/>
        </w:rPr>
      </w:pPr>
    </w:p>
    <w:p w14:paraId="3F9CEFF4" w14:textId="77777777" w:rsidR="00324B5B" w:rsidRPr="007824A7" w:rsidRDefault="00324B5B" w:rsidP="006879B5">
      <w:pPr>
        <w:rPr>
          <w:lang w:val="cs-CZ"/>
        </w:rPr>
      </w:pPr>
    </w:p>
    <w:sectPr w:rsidR="00324B5B" w:rsidRPr="007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E6"/>
    <w:rsid w:val="000164CD"/>
    <w:rsid w:val="00287E7A"/>
    <w:rsid w:val="00324B5B"/>
    <w:rsid w:val="006001E6"/>
    <w:rsid w:val="006879B5"/>
    <w:rsid w:val="007824A7"/>
    <w:rsid w:val="00A42148"/>
    <w:rsid w:val="00B14436"/>
    <w:rsid w:val="00B9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EB63"/>
  <w15:chartTrackingRefBased/>
  <w15:docId w15:val="{A2E702E6-CBB6-4EB5-B20F-FA55DDE7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uxgbd">
    <w:name w:val="muxgbd"/>
    <w:basedOn w:val="Standardnpsmoodstavce"/>
    <w:rsid w:val="000164CD"/>
  </w:style>
  <w:style w:type="character" w:styleId="Zdraznn">
    <w:name w:val="Emphasis"/>
    <w:basedOn w:val="Standardnpsmoodstavce"/>
    <w:uiPriority w:val="20"/>
    <w:qFormat/>
    <w:rsid w:val="00016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402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4</cp:revision>
  <dcterms:created xsi:type="dcterms:W3CDTF">2023-03-06T07:17:00Z</dcterms:created>
  <dcterms:modified xsi:type="dcterms:W3CDTF">2023-03-06T10:26:00Z</dcterms:modified>
</cp:coreProperties>
</file>