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A367" w14:textId="75E4C550" w:rsidR="00E035DA" w:rsidRPr="00455AFC" w:rsidRDefault="00E035DA" w:rsidP="00E0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5A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Teorie </w:t>
      </w:r>
      <w:proofErr w:type="spellStart"/>
      <w:r w:rsidRPr="00455A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protoindustrializace</w:t>
      </w:r>
      <w:proofErr w:type="spellEnd"/>
      <w:r w:rsidRPr="00455A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dosavadní výzkum a nové přístupy</w:t>
      </w:r>
    </w:p>
    <w:p w14:paraId="670C82B1" w14:textId="77777777" w:rsidR="0023327B" w:rsidRPr="00455AFC" w:rsidRDefault="0023327B" w:rsidP="00E0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C4490" w14:textId="43838B93" w:rsidR="003E4A90" w:rsidRP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35DA" w:rsidRPr="00455AFC">
        <w:rPr>
          <w:rFonts w:ascii="Times New Roman" w:hAnsi="Times New Roman" w:cs="Times New Roman"/>
          <w:sz w:val="24"/>
          <w:szCs w:val="24"/>
        </w:rPr>
        <w:t xml:space="preserve">Fenomén </w:t>
      </w:r>
      <w:proofErr w:type="spellStart"/>
      <w:r w:rsidR="00E035DA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E035DA" w:rsidRPr="00455AFC">
        <w:rPr>
          <w:rFonts w:ascii="Times New Roman" w:hAnsi="Times New Roman" w:cs="Times New Roman"/>
          <w:sz w:val="24"/>
          <w:szCs w:val="24"/>
        </w:rPr>
        <w:t xml:space="preserve"> je více než čtyřicet let diskutován hospodářskou a sociální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5DA" w:rsidRPr="00455AFC">
        <w:rPr>
          <w:rFonts w:ascii="Times New Roman" w:hAnsi="Times New Roman" w:cs="Times New Roman"/>
          <w:sz w:val="24"/>
          <w:szCs w:val="24"/>
        </w:rPr>
        <w:t>historiografií. Přináší s sebou rozsáhlé teorie, revize a koncepty opakovaně podněcující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5DA" w:rsidRPr="00455AFC">
        <w:rPr>
          <w:rFonts w:ascii="Times New Roman" w:hAnsi="Times New Roman" w:cs="Times New Roman"/>
          <w:sz w:val="24"/>
          <w:szCs w:val="24"/>
        </w:rPr>
        <w:t>badatelskou veřejnost.</w:t>
      </w:r>
      <w:r w:rsidR="00E035DA" w:rsidRPr="003F35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035DA" w:rsidRPr="00455AFC">
        <w:rPr>
          <w:rFonts w:ascii="Times New Roman" w:hAnsi="Times New Roman" w:cs="Times New Roman"/>
          <w:sz w:val="24"/>
          <w:szCs w:val="24"/>
        </w:rPr>
        <w:t xml:space="preserve"> Tento pojem zavedl na konci šedesátých let 20. století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5DA" w:rsidRPr="00455AFC">
        <w:rPr>
          <w:rFonts w:ascii="Times New Roman" w:hAnsi="Times New Roman" w:cs="Times New Roman"/>
          <w:sz w:val="24"/>
          <w:szCs w:val="24"/>
        </w:rPr>
        <w:t xml:space="preserve">americký badatel Franklin F. </w:t>
      </w:r>
      <w:proofErr w:type="spellStart"/>
      <w:r w:rsidR="00E035DA" w:rsidRPr="00455AFC">
        <w:rPr>
          <w:rFonts w:ascii="Times New Roman" w:hAnsi="Times New Roman" w:cs="Times New Roman"/>
          <w:sz w:val="24"/>
          <w:szCs w:val="24"/>
        </w:rPr>
        <w:t>Mendels</w:t>
      </w:r>
      <w:proofErr w:type="spellEnd"/>
      <w:r w:rsidR="00E035DA" w:rsidRPr="00455AFC">
        <w:rPr>
          <w:rFonts w:ascii="Times New Roman" w:hAnsi="Times New Roman" w:cs="Times New Roman"/>
          <w:sz w:val="24"/>
          <w:szCs w:val="24"/>
        </w:rPr>
        <w:t>, který se v rámci své disertační práce zaměřil</w:t>
      </w:r>
      <w:r w:rsidR="004C14C3">
        <w:rPr>
          <w:rFonts w:ascii="Times New Roman" w:hAnsi="Times New Roman" w:cs="Times New Roman"/>
          <w:sz w:val="24"/>
          <w:szCs w:val="24"/>
        </w:rPr>
        <w:t xml:space="preserve"> </w:t>
      </w:r>
      <w:r w:rsidR="00E035DA" w:rsidRPr="00455AFC">
        <w:rPr>
          <w:rFonts w:ascii="Times New Roman" w:hAnsi="Times New Roman" w:cs="Times New Roman"/>
          <w:sz w:val="24"/>
          <w:szCs w:val="24"/>
        </w:rPr>
        <w:t>na výzkum populačního vývoje Flander v 17. a 18. století.</w:t>
      </w:r>
      <w:r w:rsidR="00E035DA" w:rsidRPr="003F35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035DA" w:rsidRPr="0045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5DA" w:rsidRPr="00455AFC">
        <w:rPr>
          <w:rFonts w:ascii="Times New Roman" w:hAnsi="Times New Roman" w:cs="Times New Roman"/>
          <w:sz w:val="24"/>
          <w:szCs w:val="24"/>
        </w:rPr>
        <w:t>Protoindustrializaci</w:t>
      </w:r>
      <w:proofErr w:type="spellEnd"/>
      <w:r w:rsidR="00E035DA" w:rsidRPr="00455AFC">
        <w:rPr>
          <w:rFonts w:ascii="Times New Roman" w:hAnsi="Times New Roman" w:cs="Times New Roman"/>
          <w:sz w:val="24"/>
          <w:szCs w:val="24"/>
        </w:rPr>
        <w:t xml:space="preserve"> chápal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5DA" w:rsidRPr="00455AFC">
        <w:rPr>
          <w:rFonts w:ascii="Times New Roman" w:hAnsi="Times New Roman" w:cs="Times New Roman"/>
          <w:sz w:val="24"/>
          <w:szCs w:val="24"/>
        </w:rPr>
        <w:t>jako zapojení venkovských pracovních sil do domácké industrie pracující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5DA" w:rsidRPr="00455AFC">
        <w:rPr>
          <w:rFonts w:ascii="Times New Roman" w:hAnsi="Times New Roman" w:cs="Times New Roman"/>
          <w:sz w:val="24"/>
          <w:szCs w:val="24"/>
        </w:rPr>
        <w:t>nadregionální trhy, které nebyly svázány cechovními omezeními. To vedlo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035DA" w:rsidRPr="00455AFC">
        <w:rPr>
          <w:rFonts w:ascii="Times New Roman" w:hAnsi="Times New Roman" w:cs="Times New Roman"/>
          <w:sz w:val="24"/>
          <w:szCs w:val="24"/>
        </w:rPr>
        <w:t>regionální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5DA" w:rsidRPr="00455AFC">
        <w:rPr>
          <w:rFonts w:ascii="Times New Roman" w:hAnsi="Times New Roman" w:cs="Times New Roman"/>
          <w:sz w:val="24"/>
          <w:szCs w:val="24"/>
        </w:rPr>
        <w:t>diferenciaci a specializaci na oblasti vesnického řemesla a agrárního zemědělství.</w:t>
      </w:r>
      <w:r w:rsidR="00E035DA" w:rsidRPr="003F35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5DA" w:rsidRPr="00455AFC">
        <w:rPr>
          <w:rFonts w:ascii="Times New Roman" w:hAnsi="Times New Roman" w:cs="Times New Roman"/>
          <w:sz w:val="24"/>
          <w:szCs w:val="24"/>
        </w:rPr>
        <w:t>Regiony, ve kterých během 16.–18. století docházelo k rozvoji rukodělné a manufak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turní výroby, se mohly za určitých podmínek dále rozvinout a stát se centry industriální výroby. Základní podobnost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protoindustriálních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oblastí s oblastmi pozdější industriální výroby shledával Franklin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Mendels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v demografických aspektech a celkovém populačním vývoji. Při svém výzkumu Flander dospěl k závěru, že tento region byl stejně jako industriální oblasti charakteristický rychlým populačním růstem, který zapříčinilo dřívější hospodářské </w:t>
      </w:r>
      <w:proofErr w:type="gramStart"/>
      <w:r w:rsidR="0023327B" w:rsidRPr="00455AFC">
        <w:rPr>
          <w:rFonts w:ascii="Times New Roman" w:hAnsi="Times New Roman" w:cs="Times New Roman"/>
          <w:sz w:val="24"/>
          <w:szCs w:val="24"/>
        </w:rPr>
        <w:t>zabezpečení</w:t>
      </w:r>
      <w:proofErr w:type="gram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 tedy možné snížení věku snoubenců, čímž se prodlužovalo fertilní období ženy a celkově se zvýšila natalita při zachování přibližně stejné hladiny mortality, jaká byla běžná v agrárních oblastech.</w:t>
      </w:r>
    </w:p>
    <w:p w14:paraId="5E31618F" w14:textId="567F2279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>Původní hypotézu však později zrevidoval sám autor, který postupně svou koncepci upravil a zjednodušil.</w:t>
      </w:r>
      <w:r w:rsidR="0023327B" w:rsidRPr="003F351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Další výzkumy ho dovedly k závěru, že venkovská průmyslová expanze nemusí jednoznačně dokládat rozvoj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oblasti, dále se přiklonil k většímu významu měst při vzniku těchto specifických regionů a revidoval také svůj pohled na centralizované formy průmyslové výroby, kterým přiznal důležitou roli v rámci procesu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Mendels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chápal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protoindustrializaci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jako součást industrializačního procesu, resp. první fázi, na kterou přímo navazovala fáze tovární industrializace. </w:t>
      </w:r>
    </w:p>
    <w:p w14:paraId="1F909C1A" w14:textId="7C5A9AD4" w:rsidR="00455AFC" w:rsidRDefault="00927848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Zveřejnění této koncepce přineslo rozsáhlou diskusi a kritiku. Problematice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se na počátku sedmdesátých let 20. století věnovali rovněž američtí historikové bratři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Tylliové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>, kteří se zaměřili na transformaci venkovské ekonomiky. Podle nich se totiž za určitých hospodářských, technických a sociálních podmínek mohla přeměnit na průmyslovou ekonomiku představující počátky industrializace.</w:t>
      </w:r>
      <w:r w:rsidR="0023327B" w:rsidRPr="003F351B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</w:p>
    <w:p w14:paraId="59C81D83" w14:textId="41DE2DA1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Impulsem k další diskusi se stala kniha göttingenských badatelů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Industrialisierung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vor der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Industrialisierung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>, vydaná v roce 1977.</w:t>
      </w:r>
      <w:r w:rsidR="0023327B" w:rsidRPr="003F351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Historici Peter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Kriedte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, Hans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Medick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 Jürgen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Schlumbohm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shrnuli na stránkách této práce dosavadní teo</w:t>
      </w:r>
      <w:r w:rsidR="00455AFC">
        <w:rPr>
          <w:rFonts w:ascii="Times New Roman" w:hAnsi="Times New Roman" w:cs="Times New Roman"/>
          <w:sz w:val="24"/>
          <w:szCs w:val="24"/>
        </w:rPr>
        <w:t>ri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e a představili novou koncepci. Základ a zároveň hnací sílu procesu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spatřovali v dynamice vývoje populace, přičemž tato přechodná perioda mohla, ale nemusela vést k dalšímu rozvoji oblasti. Inspirativní byl především jejich pohled na důležitost nadnárodních trhů, úlohu měst ve sledovaném procesu či demografický režim. </w:t>
      </w:r>
    </w:p>
    <w:p w14:paraId="29A7BF9F" w14:textId="3AF2A4DC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Sporným bodem se pro mnohé historiky stala otázka produkce pro nadregionální a nadnárodní trhy. Autoři totiž považovali tyto trhy za hybatele procesu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 přikládali jim zásadní význam,</w:t>
      </w:r>
      <w:r w:rsidR="0023327B" w:rsidRPr="009E045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za což však byli odborníky velmi kritizováni. V 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protoindustriálních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oblaste</w:t>
      </w:r>
      <w:r w:rsidR="00B879B6">
        <w:rPr>
          <w:rFonts w:ascii="Times New Roman" w:hAnsi="Times New Roman" w:cs="Times New Roman"/>
          <w:sz w:val="24"/>
          <w:szCs w:val="24"/>
        </w:rPr>
        <w:t>ch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se sice utvořily vazby na síť lokálních, nadregionálních a nadnárodních trhů, které mohly urychlit proces industrializace, avšak tento vývoj byl ovlivněn mnoha dalšími faktory. Přebytek levné pracovní síly, který znamenal zpomalení modernizačního procesu (např.  pomalé zavádění nových technologií), a ztráta odbytiště pro výrobky z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protoindustriálních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regionů mohly vést až k postupné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deindustrializaci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dané lokality. </w:t>
      </w:r>
    </w:p>
    <w:p w14:paraId="755B86F2" w14:textId="090767CB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>Nejpodstatnější částí práce, resp. nového konceptu bylo vytvoření teoretického modelu reprodukčního chování populace v 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oblasti, jehož mechanismus spočíval ve fungování rodiny. S touto teorií přišel Hans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Medick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, který se opíral o skutečnost, že v těchto oblastech nebylo živobytí závislé na zděděné usedlosti, ale na vlastní práci, která vedla k samostatnosti mnohem dříve než například u obyvatel žijících v čistě zemědělských </w:t>
      </w:r>
      <w:r w:rsidR="0023327B" w:rsidRPr="00455AFC">
        <w:rPr>
          <w:rFonts w:ascii="Times New Roman" w:hAnsi="Times New Roman" w:cs="Times New Roman"/>
          <w:sz w:val="24"/>
          <w:szCs w:val="24"/>
        </w:rPr>
        <w:lastRenderedPageBreak/>
        <w:t xml:space="preserve">oblastech. S ohledem na tuto skutečnost by snoubenci mohli vstupovat do manželství v mnohem nižším </w:t>
      </w:r>
      <w:proofErr w:type="gramStart"/>
      <w:r w:rsidR="0023327B" w:rsidRPr="00455AFC">
        <w:rPr>
          <w:rFonts w:ascii="Times New Roman" w:hAnsi="Times New Roman" w:cs="Times New Roman"/>
          <w:sz w:val="24"/>
          <w:szCs w:val="24"/>
        </w:rPr>
        <w:t>věku</w:t>
      </w:r>
      <w:proofErr w:type="gram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 tedy dříve zakládat rodinu.</w:t>
      </w:r>
      <w:r w:rsidR="0023327B" w:rsidRPr="00B879B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CE382" w14:textId="2449D2A8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>Vzhledem k nízké výnosnosti polností a nedostatečně ohodnocené rukoděl</w:t>
      </w:r>
      <w:r w:rsidR="00B879B6">
        <w:rPr>
          <w:rFonts w:ascii="Times New Roman" w:hAnsi="Times New Roman" w:cs="Times New Roman"/>
          <w:sz w:val="24"/>
          <w:szCs w:val="24"/>
        </w:rPr>
        <w:t>né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výrobě se na uspokojování základních životních potřeb v 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protoindustriálních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regionech muselo podílet co nejvíce členů rodiny. Tento systém mohl být dle aut</w:t>
      </w:r>
      <w:r w:rsidR="00B879B6">
        <w:rPr>
          <w:rFonts w:ascii="Times New Roman" w:hAnsi="Times New Roman" w:cs="Times New Roman"/>
          <w:sz w:val="24"/>
          <w:szCs w:val="24"/>
        </w:rPr>
        <w:t>orů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rozšířen pouze za předpokladu neustálého zvyšování počtu poddaných. Göttingenští badatelé souhlasili v otázkách populačního vývoje s Franklinem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Mendelsem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, tzn. se snižováním věku vstupu do manželství, které s sebou přineslo prodlužování doby fertility, zkrácením intervalu mezi jednotlivými porody, stagnací nebo jen mírným vzestupem mortality. </w:t>
      </w:r>
    </w:p>
    <w:p w14:paraId="1825377F" w14:textId="4A3B18F7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Diskuse následující po zveřejnění této systémové koncepce a další konkrétní výzkumy však tuto teorii zpochybnily. Nelze zcela odmítnout tezi, že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s sebou přinesla rychlý růst počtu obyvatel, vědecké výsledky především anglických historiků však dokazují, že snižování věku snoubenců a tím prodloužení aktivní fertility ženy je přinejmenším diskutabilní.</w:t>
      </w:r>
      <w:r w:rsidR="0023327B" w:rsidRPr="00B879B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C4710" w14:textId="08D5E77C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regiony se za určitých podmínek mohly dále rozvinout do středisek industrializace, či se naopak tzv. 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deindustrializovat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>. V rámci své koncepce přišli göttingenští badatelé s teorií o čtyřech typech oblastí. Za prvé se jednalo o regiony, které se přeměnily v centra moderního průmyslu. Za druhé se lokality sice začaly přeměňovat, ale vývoj byl natolik problematický, plný krizí a stagnací, že mohl vést i k 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deindustrializaci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(příkladem jsou např. Flandry či Slezsko). Za třetí se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regiony postupně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deindustrializovaly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a, pokud se jednalo o oblasti s dobrými klimatickými podmínkami a kvalitní půdou, přeorientovaly na komerční zemědělství. Za čtvrté se původně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regiony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deindustrializovaly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především kvůli ztrátě kontaktů s nadregionálními a nadnárodními trhy, oproti předchozímu typu se však oblasti vyznačovaly nekvalitní půdou, která nebyla schopná uživit tak velkou populaci a obyvatelé těchto lokalit se často stávali prac</w:t>
      </w:r>
      <w:r w:rsidR="00B879B6">
        <w:rPr>
          <w:rFonts w:ascii="Times New Roman" w:hAnsi="Times New Roman" w:cs="Times New Roman"/>
          <w:sz w:val="24"/>
          <w:szCs w:val="24"/>
        </w:rPr>
        <w:t>o</w:t>
      </w:r>
      <w:r w:rsidR="0023327B" w:rsidRPr="00455AFC">
        <w:rPr>
          <w:rFonts w:ascii="Times New Roman" w:hAnsi="Times New Roman" w:cs="Times New Roman"/>
          <w:sz w:val="24"/>
          <w:szCs w:val="24"/>
        </w:rPr>
        <w:t>vními silami v nových průmyslových oblastech, což vedlo až k postupnému vy</w:t>
      </w:r>
      <w:r w:rsidR="00B879B6">
        <w:rPr>
          <w:rFonts w:ascii="Times New Roman" w:hAnsi="Times New Roman" w:cs="Times New Roman"/>
          <w:sz w:val="24"/>
          <w:szCs w:val="24"/>
        </w:rPr>
        <w:t>l</w:t>
      </w:r>
      <w:r w:rsidR="0023327B" w:rsidRPr="00455AFC">
        <w:rPr>
          <w:rFonts w:ascii="Times New Roman" w:hAnsi="Times New Roman" w:cs="Times New Roman"/>
          <w:sz w:val="24"/>
          <w:szCs w:val="24"/>
        </w:rPr>
        <w:t>idňování těchto regionů.</w:t>
      </w:r>
      <w:r w:rsidR="0023327B" w:rsidRPr="00B879B6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1F009" w14:textId="1E62FD91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Problémem, na který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Kriedte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Medick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Schlumbohm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nebrali přílišný ohled, byly vývojové podmínky zemí, ve kterých se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protoindustriální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oblasti nacházely. Autoři totiž předpokládali, že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se mohla plně rozvinout pouze v regionech, ve kterých docházelo k rozpadu feudálního systému. Tento již nefungující systém neudržel aktivní úlohu vrchnosti, která byla ponechána osobám spojeným s nákladnickým systémem či manufakturami, které za tuto „pozici“ odváděly poplatky (tribut ve formě peněžitých dávek). Uvedená teze však narážela na fakt, že země, pro které byl charakteristický tzv. </w:t>
      </w:r>
      <w:proofErr w:type="spellStart"/>
      <w:r w:rsidR="00B879B6">
        <w:rPr>
          <w:rFonts w:ascii="Times New Roman" w:hAnsi="Times New Roman" w:cs="Times New Roman"/>
          <w:sz w:val="24"/>
          <w:szCs w:val="24"/>
        </w:rPr>
        <w:t>G</w:t>
      </w:r>
      <w:r w:rsidR="0023327B" w:rsidRPr="00455AFC">
        <w:rPr>
          <w:rFonts w:ascii="Times New Roman" w:hAnsi="Times New Roman" w:cs="Times New Roman"/>
          <w:sz w:val="24"/>
          <w:szCs w:val="24"/>
        </w:rPr>
        <w:t>utswirtschaft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, mohly tento systém těžko akceptovat. </w:t>
      </w:r>
    </w:p>
    <w:p w14:paraId="012856FC" w14:textId="58D87A5A" w:rsid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V devadesátých letech 20. století byly původní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Mendelsův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i systémový koncept göttingenských autorů již natolik diskutovány a kritizovány, že bylo nutné přikročit k určité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mezibilanci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 novému pohledu na danou problematiku.</w:t>
      </w:r>
      <w:r w:rsidR="0023327B" w:rsidRPr="00B879B6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Badatelé se zaměřili především na nejspornější momenty, jako jsou otázky změn v populačních zvyklostech, proměny sociálních struktur, které mohly být předpokladem, ale také výsledkem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, dále na vymezení rozdílů mezi ekonomickými a  sociálními funkcemi domáckého průmyslu v  procesu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 v epoše továrního průmyslu.</w:t>
      </w:r>
      <w:r w:rsidR="0023327B" w:rsidRPr="00B879B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50C88" w14:textId="4B6C324B" w:rsidR="003F351B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Nejvýznamnějším příspěvkem k diskusi o problematice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byl bezesporu soubor studií, jehož editory byli Markus Cerman a 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Sheilagh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C. Ogilvie.</w:t>
      </w:r>
      <w:r w:rsidR="0023327B" w:rsidRPr="00B879B6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Dvanáct předních odborníků na problematiku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zde prezentovalo nejen zásadní otázky této velmi diskutované teorie, ale zároveň představilo konkrétní výsledky výzkumů pro některé evropské země. Studie Markuse Cermana,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Sheilagh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 C.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Ogilvie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a Jürgena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Schlumbohma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shrnují nejen dosavadní výzkum a proměny teorie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>, ale nabízejí i možnosti dalšího směřování této problematiky.</w:t>
      </w:r>
      <w:r w:rsidR="0023327B" w:rsidRPr="00B879B6">
        <w:rPr>
          <w:rFonts w:ascii="Times New Roman" w:hAnsi="Times New Roman" w:cs="Times New Roman"/>
          <w:sz w:val="24"/>
          <w:szCs w:val="24"/>
          <w:vertAlign w:val="superscript"/>
        </w:rPr>
        <w:t xml:space="preserve">14 </w:t>
      </w:r>
    </w:p>
    <w:p w14:paraId="3D003DBF" w14:textId="4AB2771D" w:rsidR="003F351B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V roce 1997 vydalo trio göttingenských autorů studii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Forschungslandschaft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Bewegung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>, která upozornila na možná úskalí aplikace tohoto konceptu v rámci výzkumu.</w:t>
      </w:r>
      <w:r w:rsidR="0023327B" w:rsidRPr="00B879B6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23327B" w:rsidRPr="00455AFC">
        <w:rPr>
          <w:rFonts w:ascii="Times New Roman" w:hAnsi="Times New Roman" w:cs="Times New Roman"/>
          <w:sz w:val="24"/>
          <w:szCs w:val="24"/>
        </w:rPr>
        <w:t xml:space="preserve"> </w:t>
      </w:r>
      <w:r w:rsidR="0023327B" w:rsidRPr="00455AFC">
        <w:rPr>
          <w:rFonts w:ascii="Times New Roman" w:hAnsi="Times New Roman" w:cs="Times New Roman"/>
          <w:sz w:val="24"/>
          <w:szCs w:val="24"/>
        </w:rPr>
        <w:lastRenderedPageBreak/>
        <w:t>Řada historiků se postupně začala odpoutávat od nadužívání pojmu „</w:t>
      </w:r>
      <w:proofErr w:type="spellStart"/>
      <w:r w:rsidR="0023327B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23327B" w:rsidRPr="00455AFC">
        <w:rPr>
          <w:rFonts w:ascii="Times New Roman" w:hAnsi="Times New Roman" w:cs="Times New Roman"/>
          <w:sz w:val="24"/>
          <w:szCs w:val="24"/>
        </w:rPr>
        <w:t>“, který pomalu ztrácel původní význam, a zaměřila se na výzkum konkrétních lokalit. Jejich výstupy se nacházejí zpravidla na pomezí hospodářských a sociálních dějin, dějin řemesel, zemědělství či dějin rodiny. V devadesátých letech minulého století a na počátku 21. století badatelé aplikovali do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savadní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protoindustrializační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teorie na různé evropské regiony a jejich výzkum znamenal další podnět pro diskusi o teoriích protoindustrializace.</w:t>
      </w:r>
      <w:r w:rsidR="003F7E22" w:rsidRPr="00B879B6">
        <w:rPr>
          <w:rFonts w:ascii="Times New Roman" w:hAnsi="Times New Roman" w:cs="Times New Roman"/>
          <w:sz w:val="24"/>
          <w:szCs w:val="24"/>
          <w:vertAlign w:val="superscript"/>
        </w:rPr>
        <w:t xml:space="preserve">16 </w:t>
      </w:r>
    </w:p>
    <w:p w14:paraId="33D179B6" w14:textId="03DAA8FD" w:rsidR="003F351B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V roce 2011 vyšel soubor jedenadvaceti studijních textů pod názvem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Wirtschaft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Gesellschaft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>, který reflektuje různé aspekty hospodářských a sociálních dějin Evropy za posledních tisíc let.</w:t>
      </w:r>
      <w:r w:rsidR="003F7E22" w:rsidRPr="00826DE6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 Tématu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se na stránkách sborníku věnoval Markus Cerman, který ve své stati revidoval původní koncepci. Vytknul jí především absenci zásadních činitelů pro přechod od agrární k industriální společnosti – cechů a manufaktur. Taktéž kritizoval teze o dopadu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na rodinu a celkový demografický vývoj.</w:t>
      </w:r>
      <w:r w:rsidR="003F7E22" w:rsidRPr="00826DE6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 Autor však nezpochybnil teorii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jako takovou, ale upozornil (stejně jako Jürgen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Schlum</w:t>
      </w:r>
      <w:r w:rsidR="00C7456B">
        <w:rPr>
          <w:rFonts w:ascii="Times New Roman" w:hAnsi="Times New Roman" w:cs="Times New Roman"/>
          <w:sz w:val="24"/>
          <w:szCs w:val="24"/>
        </w:rPr>
        <w:t>b</w:t>
      </w:r>
      <w:r w:rsidR="003F7E22" w:rsidRPr="00455AFC">
        <w:rPr>
          <w:rFonts w:ascii="Times New Roman" w:hAnsi="Times New Roman" w:cs="Times New Roman"/>
          <w:sz w:val="24"/>
          <w:szCs w:val="24"/>
        </w:rPr>
        <w:t>ohm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>)</w:t>
      </w:r>
      <w:r w:rsidR="003F7E22" w:rsidRPr="00826DE6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 na nutnost oddělovat výzkum samotného konceptu od konkrétních empirických výstupů. </w:t>
      </w:r>
    </w:p>
    <w:p w14:paraId="0A768951" w14:textId="3B55B306" w:rsidR="003F351B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Nejnověji se studiem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protoindustriálních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oblastí zabývá britská historička Julie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Marfany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>, která dlouhodobě zkoumá oblast Katalánska.</w:t>
      </w:r>
      <w:r w:rsidR="003F7E22" w:rsidRPr="00826DE6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 Ve svých pracích dokládá potřebu zachování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protoindustriálního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konceptu, avšak upozorňuje na nutnost změny náhledu na daný problém. Badatelka vyzývá k novému přístupu studia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protoindustriálních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regionů, a to především detailnější reflexí demografických aspektů. Za základní považuje nejen výzkum dopadů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na sňatečnost a manželskou plodnost, ale i zaměření se na mortalitu a otázku migrace.</w:t>
      </w:r>
      <w:r w:rsidR="003F7E22" w:rsidRPr="00826DE6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8E10E" w14:textId="5E56A685" w:rsidR="0023327B" w:rsidRPr="00455AFC" w:rsidRDefault="003F351B" w:rsidP="003F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7E22" w:rsidRPr="00455AFC">
        <w:rPr>
          <w:rFonts w:ascii="Times New Roman" w:hAnsi="Times New Roman" w:cs="Times New Roman"/>
          <w:sz w:val="24"/>
          <w:szCs w:val="24"/>
        </w:rPr>
        <w:t xml:space="preserve">Možné přístupy naznačené Markusem Cermanem a Julií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Marfany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mohou být aplikovatelné pouze v okamžiku, kdy teorie </w:t>
      </w:r>
      <w:proofErr w:type="spellStart"/>
      <w:r w:rsidR="003F7E22" w:rsidRPr="00455AFC">
        <w:rPr>
          <w:rFonts w:ascii="Times New Roman" w:hAnsi="Times New Roman" w:cs="Times New Roman"/>
          <w:sz w:val="24"/>
          <w:szCs w:val="24"/>
        </w:rPr>
        <w:t>protoindustrializace</w:t>
      </w:r>
      <w:proofErr w:type="spellEnd"/>
      <w:r w:rsidR="003F7E22" w:rsidRPr="00455AFC">
        <w:rPr>
          <w:rFonts w:ascii="Times New Roman" w:hAnsi="Times New Roman" w:cs="Times New Roman"/>
          <w:sz w:val="24"/>
          <w:szCs w:val="24"/>
        </w:rPr>
        <w:t xml:space="preserve"> nebude chápána jako dogma, ale jako soubor základních předpokladů, které mohou být dále rozpracovány či naopak vyvráceny.</w:t>
      </w:r>
    </w:p>
    <w:p w14:paraId="487088BF" w14:textId="203ADFCE" w:rsidR="0023327B" w:rsidRPr="00455AFC" w:rsidRDefault="0023327B" w:rsidP="00E0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A8BA2" w14:textId="386D0CB0" w:rsidR="00E035DA" w:rsidRPr="004C14C3" w:rsidRDefault="00E035DA" w:rsidP="004C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C14C3">
        <w:rPr>
          <w:rFonts w:ascii="Times New Roman" w:hAnsi="Times New Roman" w:cs="Times New Roman"/>
          <w:sz w:val="20"/>
          <w:szCs w:val="20"/>
        </w:rPr>
        <w:t xml:space="preserve"> Shrnutí výzkumu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protoindustrializace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do počátku 90. let 20. století publikoval v roce 1994 Milan</w:t>
      </w:r>
      <w:r w:rsidR="00884C7B" w:rsidRPr="004C14C3">
        <w:rPr>
          <w:rFonts w:ascii="Times New Roman" w:hAnsi="Times New Roman" w:cs="Times New Roman"/>
          <w:sz w:val="20"/>
          <w:szCs w:val="20"/>
        </w:rPr>
        <w:t xml:space="preserve"> </w:t>
      </w:r>
      <w:r w:rsidRPr="004C14C3">
        <w:rPr>
          <w:rFonts w:ascii="Times New Roman" w:hAnsi="Times New Roman" w:cs="Times New Roman"/>
          <w:sz w:val="20"/>
          <w:szCs w:val="20"/>
        </w:rPr>
        <w:t xml:space="preserve">Myška na stránkách Českého časopisu historického, viz Milan MYŠKA,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Protoindustrializace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B959DD"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Čtvrtstoletá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bilance jednoho historiografického paradigmatu</w:t>
      </w:r>
      <w:r w:rsidRPr="004C14C3">
        <w:rPr>
          <w:rFonts w:ascii="Times New Roman" w:hAnsi="Times New Roman" w:cs="Times New Roman"/>
          <w:sz w:val="20"/>
          <w:szCs w:val="20"/>
        </w:rPr>
        <w:t>, ČČH 92, 1994, č. 4, s. 759–774.</w:t>
      </w:r>
    </w:p>
    <w:p w14:paraId="26666374" w14:textId="7691A0AA" w:rsidR="00E035DA" w:rsidRPr="004C14C3" w:rsidRDefault="00E035DA" w:rsidP="004C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C14C3">
        <w:rPr>
          <w:rFonts w:ascii="Times New Roman" w:hAnsi="Times New Roman" w:cs="Times New Roman"/>
          <w:sz w:val="20"/>
          <w:szCs w:val="20"/>
        </w:rPr>
        <w:t xml:space="preserve"> Disertační práce byla v plném znění publikována až v roce 1981, viz Franklin Fritz MENDELS,</w:t>
      </w:r>
      <w:r w:rsidR="00884C7B"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Industrialization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and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Population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Pressure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Eighteenth-Century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Flanders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New York 1981.</w:t>
      </w:r>
    </w:p>
    <w:p w14:paraId="41022412" w14:textId="4A8C7F26" w:rsidR="00E035DA" w:rsidRPr="004C14C3" w:rsidRDefault="00E035DA" w:rsidP="004C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4C14C3">
        <w:rPr>
          <w:rFonts w:ascii="Times New Roman" w:hAnsi="Times New Roman" w:cs="Times New Roman"/>
          <w:sz w:val="20"/>
          <w:szCs w:val="20"/>
        </w:rPr>
        <w:t xml:space="preserve"> TÝŽ, </w:t>
      </w:r>
      <w:r w:rsidRPr="004C14C3">
        <w:rPr>
          <w:rFonts w:ascii="Times New Roman" w:hAnsi="Times New Roman" w:cs="Times New Roman"/>
          <w:i/>
          <w:iCs/>
          <w:sz w:val="20"/>
          <w:szCs w:val="20"/>
        </w:rPr>
        <w:t>Proto-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Industrialization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First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Phase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of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Industrialization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Process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Economic</w:t>
      </w:r>
      <w:proofErr w:type="spellEnd"/>
    </w:p>
    <w:p w14:paraId="37BA92B5" w14:textId="7782291C" w:rsidR="00E035DA" w:rsidRPr="004C14C3" w:rsidRDefault="00E035DA" w:rsidP="004C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32, 1972, s. 241–261; TÝŽ, </w:t>
      </w:r>
      <w:r w:rsidRPr="004C14C3">
        <w:rPr>
          <w:rFonts w:ascii="Times New Roman" w:hAnsi="Times New Roman" w:cs="Times New Roman"/>
          <w:i/>
          <w:iCs/>
          <w:sz w:val="20"/>
          <w:szCs w:val="20"/>
        </w:rPr>
        <w:t>Proto-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Industrialization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proofErr w:type="spellStart"/>
      <w:r w:rsidRPr="004C14C3">
        <w:rPr>
          <w:rFonts w:ascii="Times New Roman" w:hAnsi="Times New Roman" w:cs="Times New Roman"/>
          <w:i/>
          <w:iCs/>
          <w:sz w:val="20"/>
          <w:szCs w:val="20"/>
        </w:rPr>
        <w:t>Theory</w:t>
      </w:r>
      <w:proofErr w:type="spellEnd"/>
      <w:r w:rsidRPr="004C14C3">
        <w:rPr>
          <w:rFonts w:ascii="Times New Roman" w:hAnsi="Times New Roman" w:cs="Times New Roman"/>
          <w:i/>
          <w:iCs/>
          <w:sz w:val="20"/>
          <w:szCs w:val="20"/>
        </w:rPr>
        <w:t xml:space="preserve"> and Reality. General Report</w:t>
      </w:r>
      <w:r w:rsidRPr="004C14C3">
        <w:rPr>
          <w:rFonts w:ascii="Times New Roman" w:hAnsi="Times New Roman" w:cs="Times New Roman"/>
          <w:sz w:val="20"/>
          <w:szCs w:val="20"/>
        </w:rPr>
        <w:t>,</w:t>
      </w:r>
      <w:r w:rsidR="00884C7B" w:rsidRPr="004C14C3">
        <w:rPr>
          <w:rFonts w:ascii="Times New Roman" w:hAnsi="Times New Roman" w:cs="Times New Roman"/>
          <w:sz w:val="20"/>
          <w:szCs w:val="20"/>
        </w:rPr>
        <w:t xml:space="preserve"> </w:t>
      </w:r>
      <w:r w:rsidRPr="004C14C3">
        <w:rPr>
          <w:rFonts w:ascii="Times New Roman" w:hAnsi="Times New Roman" w:cs="Times New Roman"/>
          <w:sz w:val="20"/>
          <w:szCs w:val="20"/>
        </w:rPr>
        <w:t xml:space="preserve">in: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Eighth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International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Economic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Congress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 A-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Themes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Budapest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1982, s. 69–107.</w:t>
      </w:r>
    </w:p>
    <w:p w14:paraId="265C21E9" w14:textId="0B1FD47F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4C14C3">
        <w:rPr>
          <w:rFonts w:ascii="Times New Roman" w:hAnsi="Times New Roman" w:cs="Times New Roman"/>
          <w:sz w:val="20"/>
          <w:szCs w:val="20"/>
        </w:rPr>
        <w:t xml:space="preserve"> Zároveň byla dosavadní hypotéza o přímé závislosti uzavřených manželství na konjunktuře oblasti zpochybněna v 90. letech minulého století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Christiaanem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Vandenbroekem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který na základě svého výzkumu Flander došel k naprosto opačnému jevu – stálému poklesu počtu obyvatel a vysokému počtu osob žijících v trvalém celibátu. Viz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Christiaan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VANDENBROEKE,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Flandern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kritischer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Überblick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in: Markus CERMAN –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Sheilagh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 C. OGILVIE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.),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Europa: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industrielle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Produktion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vor dem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Fabrikszeitalter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1994, s. 113–128. </w:t>
      </w:r>
    </w:p>
    <w:p w14:paraId="52A69657" w14:textId="77777777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4C14C3">
        <w:rPr>
          <w:rFonts w:ascii="Times New Roman" w:hAnsi="Times New Roman" w:cs="Times New Roman"/>
          <w:sz w:val="20"/>
          <w:szCs w:val="20"/>
        </w:rPr>
        <w:t xml:space="preserve"> Charles TILLY – Richard TILLY, Agenda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European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Economic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C14C3">
        <w:rPr>
          <w:rFonts w:ascii="Times New Roman" w:hAnsi="Times New Roman" w:cs="Times New Roman"/>
          <w:sz w:val="20"/>
          <w:szCs w:val="20"/>
        </w:rPr>
        <w:t>1970s</w:t>
      </w:r>
      <w:proofErr w:type="gram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Economic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31, 1971, s. 184–198; Richard TILLY,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Kapital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Staat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sozialer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Protest in der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deutschen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Göttingen 1980.</w:t>
      </w:r>
    </w:p>
    <w:p w14:paraId="7C0D081F" w14:textId="727595C5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4C14C3">
        <w:rPr>
          <w:rFonts w:ascii="Times New Roman" w:hAnsi="Times New Roman" w:cs="Times New Roman"/>
          <w:sz w:val="20"/>
          <w:szCs w:val="20"/>
        </w:rPr>
        <w:t xml:space="preserve"> Peter KRIEDTE – Hans MEDICK – Jürgen SCHLUMBOHM,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vor der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Gewerbliche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Warenproduktion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auf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dem Land in der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Formationsperiode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des Kapitalismus, Göttingen 1977.</w:t>
      </w:r>
    </w:p>
    <w:p w14:paraId="5A74C737" w14:textId="77777777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4C14C3">
        <w:rPr>
          <w:rFonts w:ascii="Times New Roman" w:hAnsi="Times New Roman" w:cs="Times New Roman"/>
          <w:sz w:val="20"/>
          <w:szCs w:val="20"/>
        </w:rPr>
        <w:t xml:space="preserve"> Tamtéž, s. 87. </w:t>
      </w:r>
    </w:p>
    <w:p w14:paraId="18F88887" w14:textId="6792DF7B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4C14C3">
        <w:rPr>
          <w:rFonts w:ascii="Times New Roman" w:hAnsi="Times New Roman" w:cs="Times New Roman"/>
          <w:sz w:val="20"/>
          <w:szCs w:val="20"/>
        </w:rPr>
        <w:t xml:space="preserve"> Hans MEDICK,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Family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Economy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Structural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Function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Household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Family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during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Transition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Peasant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Society to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Capitalism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Social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1, 1976, č. 2, s. 291–315.</w:t>
      </w:r>
    </w:p>
    <w:p w14:paraId="34A92491" w14:textId="578DB21E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4C14C3">
        <w:rPr>
          <w:rFonts w:ascii="Times New Roman" w:hAnsi="Times New Roman" w:cs="Times New Roman"/>
          <w:sz w:val="20"/>
          <w:szCs w:val="20"/>
        </w:rPr>
        <w:t xml:space="preserve"> Např. Pat HUDSON,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England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in: M. CERMAN – S. C. OGILVIE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.),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Europa, s. 61–78. Autorka v podstatě navázala na kritiku z 80. let 20. století, kdy především angličtí historici vyvraceli teze o významu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protoin</w:t>
      </w:r>
      <w:r w:rsidR="00927848" w:rsidRPr="004C14C3">
        <w:rPr>
          <w:rFonts w:ascii="Times New Roman" w:hAnsi="Times New Roman" w:cs="Times New Roman"/>
          <w:sz w:val="20"/>
          <w:szCs w:val="20"/>
        </w:rPr>
        <w:t>du</w:t>
      </w:r>
      <w:r w:rsidRPr="004C14C3">
        <w:rPr>
          <w:rFonts w:ascii="Times New Roman" w:hAnsi="Times New Roman" w:cs="Times New Roman"/>
          <w:sz w:val="20"/>
          <w:szCs w:val="20"/>
        </w:rPr>
        <w:t>strializace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jako hnací síle populačního vývoje. Viz E. A. WRIGLEY – R. S. SCHOFIELD,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Population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England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1541–1871, Cambridge 1989; David LEVINE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.),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Proletarization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Family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Orlando 1984.</w:t>
      </w:r>
    </w:p>
    <w:p w14:paraId="40341E82" w14:textId="51970C8E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Pr="004C14C3">
        <w:rPr>
          <w:rFonts w:ascii="Times New Roman" w:hAnsi="Times New Roman" w:cs="Times New Roman"/>
          <w:sz w:val="20"/>
          <w:szCs w:val="20"/>
        </w:rPr>
        <w:t xml:space="preserve"> P. KRIEDTE – H. MEDICK – J. SCHLUMBOHM,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s. 272–331.</w:t>
      </w:r>
    </w:p>
    <w:p w14:paraId="2B36D03C" w14:textId="71F715D7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11</w:t>
      </w:r>
      <w:r w:rsidRPr="004C14C3">
        <w:rPr>
          <w:rFonts w:ascii="Times New Roman" w:hAnsi="Times New Roman" w:cs="Times New Roman"/>
          <w:sz w:val="20"/>
          <w:szCs w:val="20"/>
        </w:rPr>
        <w:t xml:space="preserve"> TÍŽ,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Socialgeschichte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der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Erweiterung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der </w:t>
      </w:r>
      <w:proofErr w:type="spellStart"/>
      <w:proofErr w:type="gramStart"/>
      <w:r w:rsidRPr="004C14C3">
        <w:rPr>
          <w:rFonts w:ascii="Times New Roman" w:hAnsi="Times New Roman" w:cs="Times New Roman"/>
          <w:sz w:val="20"/>
          <w:szCs w:val="20"/>
        </w:rPr>
        <w:t>Verengung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?,</w:t>
      </w:r>
      <w:proofErr w:type="gram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Geschichte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Gesellschaft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18, 1992, s. 70–87, 231–255. </w:t>
      </w:r>
    </w:p>
    <w:p w14:paraId="45357637" w14:textId="3FAB3F66" w:rsidR="003F7E22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12</w:t>
      </w:r>
      <w:r w:rsidRPr="004C14C3">
        <w:rPr>
          <w:rFonts w:ascii="Times New Roman" w:hAnsi="Times New Roman" w:cs="Times New Roman"/>
          <w:sz w:val="20"/>
          <w:szCs w:val="20"/>
        </w:rPr>
        <w:t xml:space="preserve"> K ekonomickým aspektům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protoindustrializace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viz Ulrich PFISTER,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industrielles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Wachstum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theoretisches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Modell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Jahrbuch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für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Wirtschaftsgeschichte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1998, č. 2, s. 21–48; nověji TÝŽ,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Craft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Gilds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Firm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and Early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Modern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in: Stephan R. EPSTEIN –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Maarten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PRAK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.),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Guilds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Innovation and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European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Economy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1400–1800, Cambridge 2008, s. 25–51. </w:t>
      </w:r>
    </w:p>
    <w:p w14:paraId="6DE1193E" w14:textId="0BD5A61A" w:rsidR="003F7E22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13</w:t>
      </w:r>
      <w:r w:rsidRPr="004C14C3">
        <w:rPr>
          <w:rFonts w:ascii="Times New Roman" w:hAnsi="Times New Roman" w:cs="Times New Roman"/>
          <w:sz w:val="20"/>
          <w:szCs w:val="20"/>
        </w:rPr>
        <w:t xml:space="preserve"> M. CERMAN – S. C. OGILVIE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.),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Europa: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industrielle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Produktion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vor dem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Fabrikszeitalter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1994.</w:t>
      </w:r>
    </w:p>
    <w:p w14:paraId="61A17E83" w14:textId="56129EC1" w:rsidR="003F7E22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14</w:t>
      </w:r>
      <w:r w:rsidRPr="004C14C3">
        <w:rPr>
          <w:rFonts w:ascii="Times New Roman" w:hAnsi="Times New Roman" w:cs="Times New Roman"/>
          <w:sz w:val="20"/>
          <w:szCs w:val="20"/>
        </w:rPr>
        <w:t xml:space="preserve"> M. CERMAN – S. C. OGILVIE,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Theorien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der </w:t>
      </w:r>
      <w:r w:rsidR="00244C03" w:rsidRPr="004C14C3">
        <w:rPr>
          <w:rFonts w:ascii="Times New Roman" w:hAnsi="Times New Roman" w:cs="Times New Roman"/>
          <w:sz w:val="20"/>
          <w:szCs w:val="20"/>
        </w:rPr>
        <w:t>P</w:t>
      </w:r>
      <w:r w:rsidRPr="004C14C3">
        <w:rPr>
          <w:rFonts w:ascii="Times New Roman" w:hAnsi="Times New Roman" w:cs="Times New Roman"/>
          <w:sz w:val="20"/>
          <w:szCs w:val="20"/>
        </w:rPr>
        <w:t>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in: M. CERMAN – S. C. OGILVIE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.),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Europa, s. 9–22; Jürgen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Schlumbohm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„Proto-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forschungsstrategisches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Konzept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Epochenbegriff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eine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Zwischenbilanz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in: tamtéž, s. 23–34. </w:t>
      </w:r>
    </w:p>
    <w:p w14:paraId="2AC99208" w14:textId="077FCEA4" w:rsidR="0023327B" w:rsidRPr="004C14C3" w:rsidRDefault="0023327B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15</w:t>
      </w:r>
      <w:r w:rsidRPr="004C14C3">
        <w:rPr>
          <w:rFonts w:ascii="Times New Roman" w:hAnsi="Times New Roman" w:cs="Times New Roman"/>
          <w:sz w:val="20"/>
          <w:szCs w:val="20"/>
        </w:rPr>
        <w:t xml:space="preserve"> P. KRIEDTE – H. MEDICK – J. SCHLUMBOHM,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Eine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Forschungslandschaft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Bewegung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 Die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Ende des 20.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Jahrhunderts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Jahrbuch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für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Wirtschaftsgeschichte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1998, č. 2, s. 9–20.</w:t>
      </w:r>
    </w:p>
    <w:p w14:paraId="135B4678" w14:textId="132E2DDD" w:rsidR="003F7E22" w:rsidRPr="004C14C3" w:rsidRDefault="003F7E22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16</w:t>
      </w:r>
      <w:r w:rsidRPr="004C14C3">
        <w:rPr>
          <w:rFonts w:ascii="Times New Roman" w:hAnsi="Times New Roman" w:cs="Times New Roman"/>
          <w:sz w:val="20"/>
          <w:szCs w:val="20"/>
        </w:rPr>
        <w:t xml:space="preserve"> Výběrově: Rainer BECK,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Unterfinning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Ländliche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Welt vor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Anbruch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Modern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München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2004; Dietrich EBELING – Wolfgang MAGER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.),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Protoindustrie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der Region.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Europäische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Gewerbelandschaften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vom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16. bis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zum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19.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Jahrhundert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Bielefeld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1997; Axel FLÜGEL,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Kaufleute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Manufakturen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Bielefeld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Sozialer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Wandel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wirtschaftliche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Entwicklung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industriellen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Leinengewerbe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von 1680 bis 1850,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Bielefeld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1993; Klaus GESTWA,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Rußland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Wirtschaft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Herrschaft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Kultur in Ivanovo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Pavlovo, 1741–1932, Göttingen 1999; Mark HÄBERLEIN –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Christof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JEGGLE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.),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Vorindustrielles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Gewerbe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Handwerkliche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Produktion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Arbeitsbeziehungen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Mittelalter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früher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Neuzeit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Konstanz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2004; Peter KRIEDTE,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Eine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Stadt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seidenen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Faden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Haushalt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Hausindustrie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soziale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Bewegung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Krefeld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der Mitte des 19.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Jahrhunderts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Göttingen 1991; Hans MEDICK,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Weben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Überleben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Laichingen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1650–1900.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Lokalgeschichte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allgemeine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Geschichte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Göttingen 1996;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Sheilagh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 C. OGILVIE,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State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Corporatism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Württemberg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Black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Forest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1590–1797, Cambridge 1997; Ulrich PFISTER, Die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Zürcher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Fabriques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Protoindustrielles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Wachstum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vom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16. bis 18.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Jahrhundert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Zürich 1992; David Warren SABEAN,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Property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Production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Family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Neckarhausen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1700–1780, Cambridge 1990; TÝŽ,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Kinship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Neckarhausen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1700–1870, Cambridge 1997; Jürgen SCHLUMBOHM,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Lebensläufe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Familen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Höfe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Die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Bauern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Heuerleute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Osnabrückischen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Kirchspiels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Belm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industrieller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Zeit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1650–1860, Göttingen 1994.</w:t>
      </w:r>
    </w:p>
    <w:p w14:paraId="56751FF2" w14:textId="00F070C9" w:rsidR="003F7E22" w:rsidRPr="004C14C3" w:rsidRDefault="003F7E22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 xml:space="preserve"> 17</w:t>
      </w:r>
      <w:r w:rsidRPr="004C14C3">
        <w:rPr>
          <w:rFonts w:ascii="Times New Roman" w:hAnsi="Times New Roman" w:cs="Times New Roman"/>
          <w:sz w:val="20"/>
          <w:szCs w:val="20"/>
        </w:rPr>
        <w:t xml:space="preserve"> Markus CERMAN – Franz X. EDER – Peter EIGNER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.),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Wirtschaft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Gesellschaft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Europa 1000–2000,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Insbruck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–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Bozen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2011. </w:t>
      </w:r>
    </w:p>
    <w:p w14:paraId="44C6609E" w14:textId="41F87743" w:rsidR="003F7E22" w:rsidRPr="004C14C3" w:rsidRDefault="003F7E22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18</w:t>
      </w:r>
      <w:r w:rsidRPr="004C14C3">
        <w:rPr>
          <w:rFonts w:ascii="Times New Roman" w:hAnsi="Times New Roman" w:cs="Times New Roman"/>
          <w:sz w:val="20"/>
          <w:szCs w:val="20"/>
        </w:rPr>
        <w:t xml:space="preserve"> Markus CERMAN,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Vorindustrielles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Gewerbe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in: M. CERMAN – F. X. EDER – P. EIGNER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.),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Wirtschaft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Gesellschaft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s. 211–227. Vídeňský profesor Markus Cerman se dlouhodobě věnuje problematice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protoindustrializace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 aplikaci této teorie, viz M. CERMAN,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Industrialization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Urban Environment: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Vienna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1750–1857,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Continuity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Change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8, 1992, s. 281–320; TÝŽ,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industrielle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Entwick</w:t>
      </w:r>
      <w:r w:rsidR="00244C03" w:rsidRPr="004C14C3">
        <w:rPr>
          <w:rFonts w:ascii="Times New Roman" w:hAnsi="Times New Roman" w:cs="Times New Roman"/>
          <w:sz w:val="20"/>
          <w:szCs w:val="20"/>
        </w:rPr>
        <w:t>lu</w:t>
      </w:r>
      <w:r w:rsidRPr="004C14C3">
        <w:rPr>
          <w:rFonts w:ascii="Times New Roman" w:hAnsi="Times New Roman" w:cs="Times New Roman"/>
          <w:sz w:val="20"/>
          <w:szCs w:val="20"/>
        </w:rPr>
        <w:t>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Österreich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in: M. CERMAN – S. C. OGILVIE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.),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Europa, s. 161–175; TÝŽ,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Soziale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Differenzierung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industrielle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Entwicklung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Gutsherrschaft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Frýdlant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Liberec 16.–19.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Jahrhundert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in: Markus CERMAN – Hermann ZEITLHOFER,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Soziale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Strukturen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Böhmen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regionaler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Vergleich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Wirtschaft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Gesselschaft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Gutsherrschaften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16. – 19.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Jahrhundert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Wien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München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2002, s. 174–191; TÝŽ,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Rural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Economy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Society, in: Peter WILSON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.), A 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Companion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Eighteenth-Century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Europe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Oxford 2008, s. 47–65.</w:t>
      </w:r>
    </w:p>
    <w:p w14:paraId="2570E56B" w14:textId="77777777" w:rsidR="00A71BF9" w:rsidRPr="004C14C3" w:rsidRDefault="003F7E22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19</w:t>
      </w:r>
      <w:r w:rsidRPr="004C14C3">
        <w:rPr>
          <w:rFonts w:ascii="Times New Roman" w:hAnsi="Times New Roman" w:cs="Times New Roman"/>
          <w:sz w:val="20"/>
          <w:szCs w:val="20"/>
        </w:rPr>
        <w:t xml:space="preserve"> Jürgen SCHLUMBOHM, „Proto-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forschungsstrategisches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Konzept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als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Epochenbegriff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eine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Zwischenbilanz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, in: M. CERMAN – S. C. OGILVIE (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edd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.),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Industrialisierung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Europa, s. 23–34. </w:t>
      </w:r>
    </w:p>
    <w:p w14:paraId="07C9F1C2" w14:textId="65106648" w:rsidR="00A71BF9" w:rsidRPr="004C14C3" w:rsidRDefault="003F7E22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20</w:t>
      </w:r>
      <w:r w:rsidRPr="004C14C3">
        <w:rPr>
          <w:rFonts w:ascii="Times New Roman" w:hAnsi="Times New Roman" w:cs="Times New Roman"/>
          <w:sz w:val="20"/>
          <w:szCs w:val="20"/>
        </w:rPr>
        <w:t xml:space="preserve"> Julie MARFANY,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Choices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constraints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marriage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inheritance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eighteenth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early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nineteenth-century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Catalonia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Continuity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Change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21, 2006, č. 1, s. 73–106; TÁŽ,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still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helpful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to talk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about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industrialization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?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suggestions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fr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om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 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Catalan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case study,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Economic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Review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63, 2012, č. 4, s. 942–973; TÁŽ, Land, Proto-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Industry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Population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Catalonia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, C. 1680–1829. An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Alternative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Transition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proofErr w:type="gramStart"/>
      <w:r w:rsidRPr="004C14C3">
        <w:rPr>
          <w:rFonts w:ascii="Times New Roman" w:hAnsi="Times New Roman" w:cs="Times New Roman"/>
          <w:sz w:val="20"/>
          <w:szCs w:val="20"/>
        </w:rPr>
        <w:t>Capitalism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?,</w:t>
      </w:r>
      <w:proofErr w:type="gram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Farnham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2012. </w:t>
      </w:r>
    </w:p>
    <w:p w14:paraId="449EC15D" w14:textId="444462C5" w:rsidR="003F7E22" w:rsidRPr="004C14C3" w:rsidRDefault="003F7E22" w:rsidP="004C1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14C3">
        <w:rPr>
          <w:rFonts w:ascii="Times New Roman" w:hAnsi="Times New Roman" w:cs="Times New Roman"/>
          <w:sz w:val="20"/>
          <w:szCs w:val="20"/>
          <w:vertAlign w:val="superscript"/>
        </w:rPr>
        <w:t>21</w:t>
      </w:r>
      <w:r w:rsidRPr="004C14C3">
        <w:rPr>
          <w:rFonts w:ascii="Times New Roman" w:hAnsi="Times New Roman" w:cs="Times New Roman"/>
          <w:sz w:val="20"/>
          <w:szCs w:val="20"/>
        </w:rPr>
        <w:t xml:space="preserve"> Julie MARFANY,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still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helpful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to talk </w:t>
      </w:r>
      <w:proofErr w:type="spellStart"/>
      <w:r w:rsidRPr="004C14C3">
        <w:rPr>
          <w:rFonts w:ascii="Times New Roman" w:hAnsi="Times New Roman" w:cs="Times New Roman"/>
          <w:sz w:val="20"/>
          <w:szCs w:val="20"/>
        </w:rPr>
        <w:t>about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 xml:space="preserve"> proto-</w:t>
      </w:r>
      <w:proofErr w:type="spellStart"/>
      <w:proofErr w:type="gramStart"/>
      <w:r w:rsidRPr="004C14C3">
        <w:rPr>
          <w:rFonts w:ascii="Times New Roman" w:hAnsi="Times New Roman" w:cs="Times New Roman"/>
          <w:sz w:val="20"/>
          <w:szCs w:val="20"/>
        </w:rPr>
        <w:t>industrialization</w:t>
      </w:r>
      <w:proofErr w:type="spellEnd"/>
      <w:r w:rsidRPr="004C14C3">
        <w:rPr>
          <w:rFonts w:ascii="Times New Roman" w:hAnsi="Times New Roman" w:cs="Times New Roman"/>
          <w:sz w:val="20"/>
          <w:szCs w:val="20"/>
        </w:rPr>
        <w:t>?,</w:t>
      </w:r>
      <w:proofErr w:type="gramEnd"/>
      <w:r w:rsidRPr="004C14C3">
        <w:rPr>
          <w:rFonts w:ascii="Times New Roman" w:hAnsi="Times New Roman" w:cs="Times New Roman"/>
          <w:sz w:val="20"/>
          <w:szCs w:val="20"/>
        </w:rPr>
        <w:t xml:space="preserve"> s. 942–973, zde s. 943. Badatelka poukazuje na fakt, že velká část odborných prací reflektuje pouze jednu část de</w:t>
      </w:r>
      <w:r w:rsidR="00A71BF9" w:rsidRPr="004C14C3">
        <w:rPr>
          <w:rFonts w:ascii="Times New Roman" w:hAnsi="Times New Roman" w:cs="Times New Roman"/>
          <w:sz w:val="20"/>
          <w:szCs w:val="20"/>
        </w:rPr>
        <w:t>m</w:t>
      </w:r>
      <w:r w:rsidRPr="004C14C3">
        <w:rPr>
          <w:rFonts w:ascii="Times New Roman" w:hAnsi="Times New Roman" w:cs="Times New Roman"/>
          <w:sz w:val="20"/>
          <w:szCs w:val="20"/>
        </w:rPr>
        <w:t>ografické situace, což vede k jednostrannému pohledu na daný region.</w:t>
      </w:r>
    </w:p>
    <w:p w14:paraId="5CCFDD47" w14:textId="2D68D70B" w:rsidR="003F7E22" w:rsidRDefault="003F7E22" w:rsidP="004C14C3">
      <w:pPr>
        <w:spacing w:after="0"/>
      </w:pPr>
    </w:p>
    <w:p w14:paraId="367B8022" w14:textId="406A27BE" w:rsidR="003F7E22" w:rsidRPr="004C14C3" w:rsidRDefault="003F7E22" w:rsidP="004C1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1BF9">
        <w:rPr>
          <w:rFonts w:ascii="Times New Roman" w:hAnsi="Times New Roman" w:cs="Times New Roman"/>
          <w:sz w:val="24"/>
          <w:szCs w:val="24"/>
        </w:rPr>
        <w:t xml:space="preserve">Text je </w:t>
      </w:r>
      <w:r w:rsidR="00E750D4" w:rsidRPr="00A71BF9">
        <w:rPr>
          <w:rFonts w:ascii="Times New Roman" w:hAnsi="Times New Roman" w:cs="Times New Roman"/>
          <w:sz w:val="24"/>
          <w:szCs w:val="24"/>
        </w:rPr>
        <w:t>subkapitolou studie Nekvapil Jirásková, Šárka</w:t>
      </w:r>
      <w:r w:rsidR="00E750D4" w:rsidRPr="00A71BF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E750D4" w:rsidRPr="00A71BF9">
        <w:rPr>
          <w:rFonts w:ascii="Times New Roman" w:hAnsi="Times New Roman" w:cs="Times New Roman"/>
          <w:i/>
          <w:iCs/>
          <w:sz w:val="24"/>
          <w:szCs w:val="24"/>
        </w:rPr>
        <w:t>Protoindustrializace</w:t>
      </w:r>
      <w:proofErr w:type="spellEnd"/>
      <w:r w:rsidR="00E750D4" w:rsidRPr="00A71BF9">
        <w:rPr>
          <w:rFonts w:ascii="Times New Roman" w:hAnsi="Times New Roman" w:cs="Times New Roman"/>
          <w:i/>
          <w:iCs/>
          <w:sz w:val="24"/>
          <w:szCs w:val="24"/>
        </w:rPr>
        <w:t xml:space="preserve"> a možnosti studia</w:t>
      </w:r>
      <w:r w:rsidR="00E750D4" w:rsidRPr="00A71B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750D4" w:rsidRPr="00A71BF9">
        <w:rPr>
          <w:rFonts w:ascii="Times New Roman" w:hAnsi="Times New Roman" w:cs="Times New Roman"/>
          <w:i/>
          <w:iCs/>
          <w:sz w:val="24"/>
          <w:szCs w:val="24"/>
        </w:rPr>
        <w:t>populačního vývoje</w:t>
      </w:r>
      <w:r w:rsidR="00E750D4" w:rsidRPr="00A71B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750D4" w:rsidRPr="00A71BF9">
        <w:rPr>
          <w:rFonts w:ascii="Times New Roman" w:hAnsi="Times New Roman" w:cs="Times New Roman"/>
          <w:i/>
          <w:iCs/>
          <w:sz w:val="24"/>
          <w:szCs w:val="24"/>
        </w:rPr>
        <w:t>v oblasti severovýchodních Čech</w:t>
      </w:r>
      <w:r w:rsidR="00E750D4" w:rsidRPr="00A71BF9">
        <w:rPr>
          <w:rFonts w:ascii="Times New Roman" w:hAnsi="Times New Roman" w:cs="Times New Roman"/>
          <w:sz w:val="24"/>
          <w:szCs w:val="24"/>
        </w:rPr>
        <w:t>. ČČH 113, 2015, s. 27</w:t>
      </w:r>
      <w:r w:rsidR="00A71BF9" w:rsidRPr="00884C7B">
        <w:rPr>
          <w:rFonts w:ascii="Times New Roman" w:hAnsi="Times New Roman" w:cs="Times New Roman"/>
        </w:rPr>
        <w:t>–</w:t>
      </w:r>
      <w:r w:rsidR="00E750D4" w:rsidRPr="00A71BF9">
        <w:rPr>
          <w:rFonts w:ascii="Times New Roman" w:hAnsi="Times New Roman" w:cs="Times New Roman"/>
          <w:sz w:val="24"/>
          <w:szCs w:val="24"/>
        </w:rPr>
        <w:t xml:space="preserve">49. </w:t>
      </w:r>
    </w:p>
    <w:sectPr w:rsidR="003F7E22" w:rsidRPr="004C1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D1"/>
    <w:rsid w:val="0009636A"/>
    <w:rsid w:val="000E7957"/>
    <w:rsid w:val="00152CE6"/>
    <w:rsid w:val="0023327B"/>
    <w:rsid w:val="00244C03"/>
    <w:rsid w:val="002C5138"/>
    <w:rsid w:val="003E4A90"/>
    <w:rsid w:val="003E5AB8"/>
    <w:rsid w:val="003F351B"/>
    <w:rsid w:val="003F7E22"/>
    <w:rsid w:val="004352E2"/>
    <w:rsid w:val="00455AFC"/>
    <w:rsid w:val="004C14C3"/>
    <w:rsid w:val="005A7960"/>
    <w:rsid w:val="00826DE6"/>
    <w:rsid w:val="00846CC9"/>
    <w:rsid w:val="008627D1"/>
    <w:rsid w:val="00884C7B"/>
    <w:rsid w:val="00927848"/>
    <w:rsid w:val="00933C84"/>
    <w:rsid w:val="009D54A8"/>
    <w:rsid w:val="009E0458"/>
    <w:rsid w:val="00A71BF9"/>
    <w:rsid w:val="00B879B6"/>
    <w:rsid w:val="00B959DD"/>
    <w:rsid w:val="00C7456B"/>
    <w:rsid w:val="00E035DA"/>
    <w:rsid w:val="00E272EE"/>
    <w:rsid w:val="00E51EA6"/>
    <w:rsid w:val="00E750D4"/>
    <w:rsid w:val="00E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B802F"/>
  <w15:chartTrackingRefBased/>
  <w15:docId w15:val="{08CEDBB1-0A61-4DFE-B705-23A641A8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0BC4A-D026-47B5-8C62-2C40FAED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2606</Words>
  <Characters>15378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 Chocholáč</dc:creator>
  <cp:keywords/>
  <dc:description/>
  <cp:lastModifiedBy>Bronislav Chocholáč</cp:lastModifiedBy>
  <cp:revision>2</cp:revision>
  <dcterms:created xsi:type="dcterms:W3CDTF">2024-03-15T17:14:00Z</dcterms:created>
  <dcterms:modified xsi:type="dcterms:W3CDTF">2024-03-15T17:14:00Z</dcterms:modified>
</cp:coreProperties>
</file>