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D5F04" w14:textId="77777777" w:rsidR="0097682B" w:rsidRPr="004C75B3" w:rsidRDefault="0097682B" w:rsidP="004C75B3">
      <w:pPr>
        <w:pStyle w:val="Nzev"/>
        <w:rPr>
          <w:b/>
          <w:sz w:val="44"/>
          <w:szCs w:val="44"/>
        </w:rPr>
      </w:pPr>
      <w:bookmarkStart w:id="0" w:name="_Toc246089570"/>
      <w:bookmarkStart w:id="1" w:name="_Toc246602542"/>
      <w:bookmarkStart w:id="2" w:name="_Toc251674910"/>
      <w:bookmarkStart w:id="3" w:name="_Toc251675900"/>
      <w:bookmarkStart w:id="4" w:name="_Toc252028514"/>
      <w:bookmarkStart w:id="5" w:name="_Toc252030975"/>
      <w:bookmarkStart w:id="6" w:name="_Toc252643617"/>
      <w:bookmarkStart w:id="7" w:name="_Toc252713246"/>
      <w:bookmarkStart w:id="8" w:name="_Toc252718102"/>
      <w:bookmarkStart w:id="9" w:name="_Toc254455805"/>
      <w:r w:rsidRPr="004C75B3">
        <w:rPr>
          <w:b/>
          <w:sz w:val="44"/>
          <w:szCs w:val="44"/>
        </w:rPr>
        <w:t>Metoda VENNŮV DIAGRAM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3082E9DB" w14:textId="77777777" w:rsidR="0097682B" w:rsidRPr="00F55E30" w:rsidRDefault="0097682B" w:rsidP="00B25A32">
      <w:pPr>
        <w:snapToGrid w:val="0"/>
        <w:spacing w:line="283" w:lineRule="auto"/>
        <w:ind w:firstLine="708"/>
        <w:jc w:val="both"/>
      </w:pPr>
      <w:proofErr w:type="spellStart"/>
      <w:r w:rsidRPr="00F55E30">
        <w:t>Vennův</w:t>
      </w:r>
      <w:proofErr w:type="spellEnd"/>
      <w:r w:rsidRPr="00F55E30">
        <w:t xml:space="preserve"> diagram je tvořen dvěma (nebo větším počtem) částečně se překrývajícími se kruhy. Může být použit pro přehlednější znázornění kontrastu myšlenek a styčných oblastí. </w:t>
      </w:r>
      <w:proofErr w:type="spellStart"/>
      <w:r w:rsidRPr="00F55E30">
        <w:t>Vennův</w:t>
      </w:r>
      <w:proofErr w:type="spellEnd"/>
      <w:r w:rsidRPr="00F55E30">
        <w:t xml:space="preserve"> diagram nám umožní zdůraznit rozdílné rysy, ale zároveň zaznamená to, co je společné.</w:t>
      </w:r>
    </w:p>
    <w:p w14:paraId="29524263" w14:textId="77777777" w:rsidR="0097682B" w:rsidRPr="00F55E30" w:rsidRDefault="0097682B" w:rsidP="00B25A32">
      <w:pPr>
        <w:spacing w:line="283" w:lineRule="auto"/>
        <w:jc w:val="both"/>
      </w:pPr>
      <w:r w:rsidRPr="004C75B3">
        <w:rPr>
          <w:b/>
        </w:rPr>
        <w:t>Postup</w:t>
      </w:r>
      <w:r w:rsidR="004C75B3" w:rsidRPr="004C75B3">
        <w:rPr>
          <w:b/>
        </w:rPr>
        <w:t xml:space="preserve"> s příkladem</w:t>
      </w:r>
      <w:r w:rsidRPr="00F55E30">
        <w:t>:</w:t>
      </w:r>
    </w:p>
    <w:p w14:paraId="53C9A2E9" w14:textId="10F1C0A1" w:rsidR="0097682B" w:rsidRPr="00F55E30" w:rsidRDefault="00B25A32" w:rsidP="00B25A32">
      <w:pPr>
        <w:numPr>
          <w:ilvl w:val="0"/>
          <w:numId w:val="1"/>
        </w:numPr>
        <w:spacing w:line="283" w:lineRule="auto"/>
        <w:jc w:val="both"/>
      </w:pPr>
      <w:r>
        <w:t xml:space="preserve">Učící knihovník </w:t>
      </w:r>
      <w:r w:rsidR="0097682B" w:rsidRPr="00F55E30">
        <w:t xml:space="preserve">vyzve </w:t>
      </w:r>
      <w:r w:rsidR="004C75B3">
        <w:t>studenty</w:t>
      </w:r>
      <w:r w:rsidR="0097682B" w:rsidRPr="00F55E30">
        <w:t xml:space="preserve">, aby do jednoho kruhu zaznamenali skutečnosti týkající se </w:t>
      </w:r>
      <w:r>
        <w:t>tištěných informačních zdrojů</w:t>
      </w:r>
    </w:p>
    <w:p w14:paraId="16EBE7AE" w14:textId="497711E2" w:rsidR="0097682B" w:rsidRPr="00F55E30" w:rsidRDefault="0097682B" w:rsidP="00B25A32">
      <w:pPr>
        <w:numPr>
          <w:ilvl w:val="0"/>
          <w:numId w:val="1"/>
        </w:numPr>
        <w:spacing w:line="283" w:lineRule="auto"/>
        <w:jc w:val="both"/>
      </w:pPr>
      <w:r w:rsidRPr="00F55E30">
        <w:t xml:space="preserve">Posléze </w:t>
      </w:r>
      <w:r w:rsidR="004C75B3">
        <w:t>studenti</w:t>
      </w:r>
      <w:r w:rsidRPr="00F55E30">
        <w:t xml:space="preserve"> doplní do druhého kruhu skutečnosti týkající se </w:t>
      </w:r>
      <w:r w:rsidR="00B25A32">
        <w:t xml:space="preserve">elektronických informačních zdrojů. </w:t>
      </w:r>
    </w:p>
    <w:p w14:paraId="7323AA0B" w14:textId="4E55E8DE" w:rsidR="0097682B" w:rsidRDefault="0097682B" w:rsidP="00B25A32">
      <w:pPr>
        <w:numPr>
          <w:ilvl w:val="0"/>
          <w:numId w:val="1"/>
        </w:numPr>
        <w:spacing w:line="283" w:lineRule="auto"/>
        <w:jc w:val="both"/>
      </w:pPr>
      <w:r w:rsidRPr="00F55E30">
        <w:t xml:space="preserve">Po té se </w:t>
      </w:r>
      <w:r w:rsidR="00B25A32">
        <w:t xml:space="preserve">studenti </w:t>
      </w:r>
      <w:r w:rsidRPr="00F55E30">
        <w:t xml:space="preserve">obrátí </w:t>
      </w:r>
      <w:r w:rsidR="00B25A32">
        <w:t xml:space="preserve">ke spolužákovi v lavici, případně si utvoří čtveřice, </w:t>
      </w:r>
      <w:r w:rsidRPr="00F55E30">
        <w:t>porovnají své výsledky a společnými silami mohou do průniku kruhu sestavit společné rysy obou skutečností</w:t>
      </w:r>
      <w:r w:rsidR="00B25A32">
        <w:t xml:space="preserve"> (tištěné a elektronické informační zdroje). </w:t>
      </w:r>
    </w:p>
    <w:p w14:paraId="3A3F4BCD" w14:textId="77777777" w:rsidR="004C75B3" w:rsidRDefault="004C75B3" w:rsidP="00B25A32">
      <w:pPr>
        <w:spacing w:line="283" w:lineRule="auto"/>
        <w:jc w:val="both"/>
      </w:pPr>
    </w:p>
    <w:p w14:paraId="294BCF37" w14:textId="77777777" w:rsidR="004C75B3" w:rsidRDefault="004C75B3" w:rsidP="004C75B3">
      <w:pPr>
        <w:spacing w:line="360" w:lineRule="auto"/>
        <w:jc w:val="both"/>
        <w:rPr>
          <w:b/>
        </w:rPr>
      </w:pPr>
      <w:r w:rsidRPr="004C75B3">
        <w:rPr>
          <w:b/>
        </w:rPr>
        <w:t>Obrázek:</w:t>
      </w:r>
    </w:p>
    <w:p w14:paraId="5C593F5B" w14:textId="6C9DB684" w:rsidR="004C75B3" w:rsidRDefault="004C75B3" w:rsidP="004C75B3">
      <w:pPr>
        <w:spacing w:line="360" w:lineRule="auto"/>
        <w:jc w:val="both"/>
        <w:rPr>
          <w:b/>
        </w:rPr>
      </w:pPr>
      <w:r>
        <w:rPr>
          <w:noProof/>
        </w:rPr>
        <w:drawing>
          <wp:inline distT="0" distB="0" distL="0" distR="0" wp14:anchorId="48C60C7C" wp14:editId="70D9D2AD">
            <wp:extent cx="2857500" cy="1905000"/>
            <wp:effectExtent l="0" t="0" r="0" b="0"/>
            <wp:docPr id="3" name="irc_mi" descr="http://astra.karlin.mff.cuni.cz/katedry/kdm/diplomky/moravecdp/obrazky/vennpru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astra.karlin.mff.cuni.cz/katedry/kdm/diplomky/moravecdp/obrazky/vennprun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6FE1E2" w14:textId="77777777" w:rsidR="00B25A32" w:rsidRPr="004C75B3" w:rsidRDefault="00B25A32" w:rsidP="004C75B3">
      <w:pPr>
        <w:spacing w:line="360" w:lineRule="auto"/>
        <w:jc w:val="both"/>
        <w:rPr>
          <w:b/>
        </w:rPr>
      </w:pPr>
    </w:p>
    <w:p w14:paraId="66E05FBF" w14:textId="6CC3DBA6" w:rsidR="002844D3" w:rsidRDefault="004C75B3" w:rsidP="004C75B3">
      <w:pPr>
        <w:spacing w:line="360" w:lineRule="auto"/>
        <w:jc w:val="both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4C75B3">
        <w:rPr>
          <w:b/>
          <w:noProof/>
        </w:rPr>
        <w:drawing>
          <wp:inline distT="0" distB="0" distL="0" distR="0" wp14:anchorId="6F742AAF" wp14:editId="569674E2">
            <wp:extent cx="2857500" cy="2857500"/>
            <wp:effectExtent l="0" t="0" r="0" b="0"/>
            <wp:docPr id="1" name="irc_mi" descr="http://www.karlin.mff.cuni.cz/katedry/kdm/diplomky/moravecdp/obrazky/venn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karlin.mff.cuni.cz/katedry/kdm/diplomky/moravecdp/obrazky/venn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E6BF02" w14:textId="77777777" w:rsidR="00B25A32" w:rsidRPr="004C75B3" w:rsidRDefault="00B25A32" w:rsidP="00B25A32">
      <w:pPr>
        <w:pStyle w:val="Nzev"/>
        <w:rPr>
          <w:b/>
          <w:sz w:val="44"/>
          <w:szCs w:val="44"/>
        </w:rPr>
      </w:pPr>
      <w:r w:rsidRPr="004C75B3">
        <w:rPr>
          <w:b/>
          <w:sz w:val="44"/>
          <w:szCs w:val="44"/>
        </w:rPr>
        <w:lastRenderedPageBreak/>
        <w:t>Metoda VENNŮV DIAGRAM</w:t>
      </w:r>
    </w:p>
    <w:p w14:paraId="6A3AAE0E" w14:textId="77777777" w:rsidR="00B25A32" w:rsidRPr="00F55E30" w:rsidRDefault="00B25A32" w:rsidP="00B25A32">
      <w:pPr>
        <w:snapToGrid w:val="0"/>
        <w:spacing w:line="283" w:lineRule="auto"/>
        <w:ind w:firstLine="708"/>
        <w:jc w:val="both"/>
      </w:pPr>
      <w:proofErr w:type="spellStart"/>
      <w:r w:rsidRPr="00F55E30">
        <w:t>Vennův</w:t>
      </w:r>
      <w:proofErr w:type="spellEnd"/>
      <w:r w:rsidRPr="00F55E30">
        <w:t xml:space="preserve"> diagram je tvořen dvěma (nebo větším počtem) částečně se překrývajícími se kruhy. Může být použit pro přehlednější znázornění kontrastu myšlenek a styčných oblastí. </w:t>
      </w:r>
      <w:proofErr w:type="spellStart"/>
      <w:r w:rsidRPr="00F55E30">
        <w:t>Vennův</w:t>
      </w:r>
      <w:proofErr w:type="spellEnd"/>
      <w:r w:rsidRPr="00F55E30">
        <w:t xml:space="preserve"> diagram nám umožní zdůraznit rozdílné rysy, ale zároveň zaznamená to, co je společné.</w:t>
      </w:r>
    </w:p>
    <w:p w14:paraId="68343283" w14:textId="77777777" w:rsidR="00B25A32" w:rsidRPr="00F55E30" w:rsidRDefault="00B25A32" w:rsidP="00B25A32">
      <w:pPr>
        <w:spacing w:line="283" w:lineRule="auto"/>
        <w:jc w:val="both"/>
      </w:pPr>
      <w:r w:rsidRPr="004C75B3">
        <w:rPr>
          <w:b/>
        </w:rPr>
        <w:t>Postup s příkladem</w:t>
      </w:r>
      <w:r w:rsidRPr="00F55E30">
        <w:t>:</w:t>
      </w:r>
    </w:p>
    <w:p w14:paraId="3582CD37" w14:textId="77777777" w:rsidR="00B25A32" w:rsidRPr="00F55E30" w:rsidRDefault="00B25A32" w:rsidP="00B25A32">
      <w:pPr>
        <w:numPr>
          <w:ilvl w:val="0"/>
          <w:numId w:val="3"/>
        </w:numPr>
        <w:spacing w:line="283" w:lineRule="auto"/>
        <w:jc w:val="both"/>
      </w:pPr>
      <w:r>
        <w:t xml:space="preserve">Učící knihovník </w:t>
      </w:r>
      <w:r w:rsidRPr="00F55E30">
        <w:t xml:space="preserve">vyzve </w:t>
      </w:r>
      <w:r>
        <w:t>studenty</w:t>
      </w:r>
      <w:r w:rsidRPr="00F55E30">
        <w:t xml:space="preserve">, aby do jednoho kruhu zaznamenali skutečnosti týkající se </w:t>
      </w:r>
      <w:r>
        <w:t>tištěných informačních zdrojů</w:t>
      </w:r>
    </w:p>
    <w:p w14:paraId="760799F5" w14:textId="77777777" w:rsidR="00B25A32" w:rsidRPr="00F55E30" w:rsidRDefault="00B25A32" w:rsidP="00B25A32">
      <w:pPr>
        <w:numPr>
          <w:ilvl w:val="0"/>
          <w:numId w:val="3"/>
        </w:numPr>
        <w:spacing w:line="283" w:lineRule="auto"/>
        <w:jc w:val="both"/>
      </w:pPr>
      <w:r w:rsidRPr="00F55E30">
        <w:t xml:space="preserve">Posléze </w:t>
      </w:r>
      <w:r>
        <w:t>studenti</w:t>
      </w:r>
      <w:r w:rsidRPr="00F55E30">
        <w:t xml:space="preserve"> doplní do druhého kruhu skutečnosti týkající se </w:t>
      </w:r>
      <w:r>
        <w:t xml:space="preserve">elektronických informačních zdrojů. </w:t>
      </w:r>
    </w:p>
    <w:p w14:paraId="1CAA4A30" w14:textId="77777777" w:rsidR="00B25A32" w:rsidRDefault="00B25A32" w:rsidP="00B25A32">
      <w:pPr>
        <w:numPr>
          <w:ilvl w:val="0"/>
          <w:numId w:val="3"/>
        </w:numPr>
        <w:spacing w:line="283" w:lineRule="auto"/>
        <w:jc w:val="both"/>
      </w:pPr>
      <w:r w:rsidRPr="00F55E30">
        <w:t xml:space="preserve">Po té se </w:t>
      </w:r>
      <w:r>
        <w:t xml:space="preserve">studenti </w:t>
      </w:r>
      <w:r w:rsidRPr="00F55E30">
        <w:t xml:space="preserve">obrátí </w:t>
      </w:r>
      <w:r>
        <w:t xml:space="preserve">ke spolužákovi v lavici, případně si utvoří čtveřice, </w:t>
      </w:r>
      <w:r w:rsidRPr="00F55E30">
        <w:t>porovnají své výsledky a společnými silami mohou do průniku kruhu sestavit společné rysy obou skutečností</w:t>
      </w:r>
      <w:r>
        <w:t xml:space="preserve"> (tištěné a elektronické informační zdroje). </w:t>
      </w:r>
    </w:p>
    <w:p w14:paraId="4BECC26B" w14:textId="77777777" w:rsidR="00B25A32" w:rsidRDefault="00B25A32" w:rsidP="00B25A32">
      <w:pPr>
        <w:spacing w:line="283" w:lineRule="auto"/>
        <w:jc w:val="both"/>
      </w:pPr>
    </w:p>
    <w:p w14:paraId="54EB5870" w14:textId="77777777" w:rsidR="00B25A32" w:rsidRDefault="00B25A32" w:rsidP="00B25A32">
      <w:pPr>
        <w:spacing w:line="360" w:lineRule="auto"/>
        <w:jc w:val="both"/>
        <w:rPr>
          <w:b/>
        </w:rPr>
      </w:pPr>
      <w:r w:rsidRPr="004C75B3">
        <w:rPr>
          <w:b/>
        </w:rPr>
        <w:t>Obrázek:</w:t>
      </w:r>
    </w:p>
    <w:p w14:paraId="63ACAB29" w14:textId="77777777" w:rsidR="00B25A32" w:rsidRDefault="00B25A32" w:rsidP="00B25A32">
      <w:pPr>
        <w:spacing w:line="360" w:lineRule="auto"/>
        <w:jc w:val="both"/>
        <w:rPr>
          <w:b/>
        </w:rPr>
      </w:pPr>
      <w:r>
        <w:rPr>
          <w:noProof/>
        </w:rPr>
        <w:drawing>
          <wp:inline distT="0" distB="0" distL="0" distR="0" wp14:anchorId="2EB84554" wp14:editId="6E486BB3">
            <wp:extent cx="2857500" cy="1905000"/>
            <wp:effectExtent l="0" t="0" r="0" b="0"/>
            <wp:docPr id="2" name="irc_mi" descr="http://astra.karlin.mff.cuni.cz/katedry/kdm/diplomky/moravecdp/obrazky/vennpru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astra.karlin.mff.cuni.cz/katedry/kdm/diplomky/moravecdp/obrazky/vennprun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2F2200" w14:textId="77777777" w:rsidR="00B25A32" w:rsidRPr="004C75B3" w:rsidRDefault="00B25A32" w:rsidP="00B25A32">
      <w:pPr>
        <w:spacing w:line="360" w:lineRule="auto"/>
        <w:jc w:val="both"/>
        <w:rPr>
          <w:b/>
        </w:rPr>
      </w:pPr>
    </w:p>
    <w:p w14:paraId="30CE5D87" w14:textId="32591CAD" w:rsidR="00B25A32" w:rsidRPr="004C75B3" w:rsidRDefault="00B25A32" w:rsidP="004C75B3">
      <w:pPr>
        <w:spacing w:line="360" w:lineRule="auto"/>
        <w:jc w:val="both"/>
        <w:rPr>
          <w:b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4C75B3">
        <w:rPr>
          <w:b/>
          <w:noProof/>
        </w:rPr>
        <w:drawing>
          <wp:inline distT="0" distB="0" distL="0" distR="0" wp14:anchorId="6B58971A" wp14:editId="40A9C1FF">
            <wp:extent cx="2857500" cy="2857500"/>
            <wp:effectExtent l="0" t="0" r="0" b="0"/>
            <wp:docPr id="4" name="irc_mi" descr="http://www.karlin.mff.cuni.cz/katedry/kdm/diplomky/moravecdp/obrazky/venn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karlin.mff.cuni.cz/katedry/kdm/diplomky/moravecdp/obrazky/venn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25A32" w:rsidRPr="004C75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B6F3E"/>
    <w:multiLevelType w:val="hybridMultilevel"/>
    <w:tmpl w:val="BC58FDF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EB4540"/>
    <w:multiLevelType w:val="multilevel"/>
    <w:tmpl w:val="AFEA4D86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4F791C00"/>
    <w:multiLevelType w:val="hybridMultilevel"/>
    <w:tmpl w:val="BC58FDF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8828414">
    <w:abstractNumId w:val="2"/>
  </w:num>
  <w:num w:numId="2" w16cid:durableId="1153059892">
    <w:abstractNumId w:val="1"/>
  </w:num>
  <w:num w:numId="3" w16cid:durableId="1880622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682B"/>
    <w:rsid w:val="002844D3"/>
    <w:rsid w:val="004C75B3"/>
    <w:rsid w:val="0097682B"/>
    <w:rsid w:val="00B2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B790E"/>
  <w15:docId w15:val="{A62CC891-4C4F-4F9A-BB43-BA5DF0FA6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768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97682B"/>
    <w:pPr>
      <w:keepNext/>
      <w:spacing w:before="240" w:after="60"/>
      <w:outlineLvl w:val="2"/>
    </w:pPr>
    <w:rPr>
      <w:rFonts w:cs="Arial"/>
      <w:b/>
      <w:bCs/>
      <w:i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97682B"/>
    <w:rPr>
      <w:rFonts w:ascii="Times New Roman" w:eastAsia="Times New Roman" w:hAnsi="Times New Roman" w:cs="Arial"/>
      <w:b/>
      <w:bCs/>
      <w:i/>
      <w:sz w:val="24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75B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75B3"/>
    <w:rPr>
      <w:rFonts w:ascii="Tahoma" w:eastAsia="Times New Roman" w:hAnsi="Tahoma" w:cs="Tahoma"/>
      <w:sz w:val="16"/>
      <w:szCs w:val="16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4C75B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4C75B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Pavlína Mazáčová</cp:lastModifiedBy>
  <cp:revision>3</cp:revision>
  <cp:lastPrinted>2022-10-03T15:58:00Z</cp:lastPrinted>
  <dcterms:created xsi:type="dcterms:W3CDTF">2013-10-15T10:34:00Z</dcterms:created>
  <dcterms:modified xsi:type="dcterms:W3CDTF">2022-10-03T16:03:00Z</dcterms:modified>
</cp:coreProperties>
</file>