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E72B" w14:textId="51A7DC7D" w:rsidR="4E861EB3" w:rsidRDefault="4E861EB3" w:rsidP="707EE838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de-DE"/>
        </w:rPr>
        <w:t>1) Werner Hofmann: Umění mezi anarchií a utopií, In: Merkur 1/1956.</w:t>
      </w:r>
      <w:r w:rsidRPr="707EE838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p w14:paraId="29F2C2AC" w14:textId="02CF3887" w:rsidR="707EE838" w:rsidRDefault="707EE838" w:rsidP="707EE83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38C3809A" w14:textId="32A4BA19" w:rsidR="33307A08" w:rsidRDefault="33307A08" w:rsidP="707EE838">
      <w:pPr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Skutečnost, že politicko-ideologická kritika uměleckého díla, která se zabývá pouze obsahem, je</w:t>
      </w:r>
      <w:r w:rsidR="441BDB93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schopna uchopit pouze jeden, a to</w:t>
      </w:r>
      <w:r w:rsidR="1E13BE12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funkční aspekt, lze dostatečně prokázat.</w:t>
      </w:r>
      <w:r w:rsidR="74038783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Umění se stává nástrojem třídního boje nebo okázalou demonstrací moci.</w:t>
      </w:r>
      <w:r w:rsidR="24C6D752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Ale i druhý extrém, interpretace děl nezávislá na dogmatech</w:t>
      </w:r>
      <w:r w:rsidR="1094373E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ideologií, zdaleka nemá jediný spolehlivý, objektivní přístup k jejich významu.</w:t>
      </w:r>
      <w:r w:rsidR="3EAE40CB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2FABB550" w:rsidRPr="707EE838">
        <w:rPr>
          <w:rFonts w:asciiTheme="majorHAnsi" w:eastAsiaTheme="majorEastAsia" w:hAnsiTheme="majorHAnsi" w:cstheme="majorBidi"/>
          <w:sz w:val="24"/>
          <w:szCs w:val="24"/>
        </w:rPr>
        <w:t xml:space="preserve">Na umění je </w:t>
      </w:r>
      <w:r w:rsidR="64041209" w:rsidRPr="707EE838">
        <w:rPr>
          <w:rFonts w:asciiTheme="majorHAnsi" w:eastAsiaTheme="majorEastAsia" w:hAnsiTheme="majorHAnsi" w:cstheme="majorBidi"/>
          <w:sz w:val="24"/>
          <w:szCs w:val="24"/>
        </w:rPr>
        <w:t xml:space="preserve">pak </w:t>
      </w:r>
      <w:r w:rsidR="2FABB550" w:rsidRPr="707EE838">
        <w:rPr>
          <w:rFonts w:asciiTheme="majorHAnsi" w:eastAsiaTheme="majorEastAsia" w:hAnsiTheme="majorHAnsi" w:cstheme="majorBidi"/>
          <w:sz w:val="24"/>
          <w:szCs w:val="24"/>
        </w:rPr>
        <w:t>hodnocen jeho výraz, ať už se jedná o jeskynní malby či současné umění. Fetiš, ikona, desková malba a dětská kresba vstupují do ahistorického vztahu, v němž přesvědčivost výrazu určuje kvalit</w:t>
      </w:r>
      <w:r w:rsidR="7ECE88F6" w:rsidRPr="707EE838">
        <w:rPr>
          <w:rFonts w:asciiTheme="majorHAnsi" w:eastAsiaTheme="majorEastAsia" w:hAnsiTheme="majorHAnsi" w:cstheme="majorBidi"/>
          <w:sz w:val="24"/>
          <w:szCs w:val="24"/>
        </w:rPr>
        <w:t>u</w:t>
      </w:r>
      <w:r w:rsidR="2FABB550" w:rsidRPr="707EE838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0C806619" w14:textId="701ABED1" w:rsidR="1DB07DF4" w:rsidRDefault="1DB07DF4" w:rsidP="707EE838">
      <w:pPr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Konflikt mezi ideálem a realitou, uměním a přírodou,</w:t>
      </w:r>
      <w:r w:rsidRPr="707EE838">
        <w:rPr>
          <w:rStyle w:val="Znakapoznpodarou"/>
          <w:rFonts w:asciiTheme="majorHAnsi" w:eastAsiaTheme="majorEastAsia" w:hAnsiTheme="majorHAnsi" w:cstheme="majorBidi"/>
          <w:b/>
          <w:bCs/>
          <w:sz w:val="24"/>
          <w:szCs w:val="24"/>
        </w:rPr>
        <w:footnoteReference w:id="1"/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který se od 18. století stával stále zřetelnějším, vstoupil do nové fáze, když mu Kandinskij dal pozitivní znaménko, když se již nesnažil překlenout rozdělení obou sfér, ale pro</w:t>
      </w:r>
      <w:r w:rsidR="0FB28197" w:rsidRPr="707EE838">
        <w:rPr>
          <w:rFonts w:asciiTheme="majorHAnsi" w:eastAsiaTheme="majorEastAsia" w:hAnsiTheme="majorHAnsi" w:cstheme="majorBidi"/>
          <w:sz w:val="24"/>
          <w:szCs w:val="24"/>
        </w:rPr>
        <w:t>hlási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l</w:t>
      </w:r>
      <w:r w:rsidR="3BA7D5BE" w:rsidRPr="707EE838">
        <w:rPr>
          <w:rFonts w:asciiTheme="majorHAnsi" w:eastAsiaTheme="majorEastAsia" w:hAnsiTheme="majorHAnsi" w:cstheme="majorBidi"/>
          <w:sz w:val="24"/>
          <w:szCs w:val="24"/>
        </w:rPr>
        <w:t xml:space="preserve">, že 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koexistenc</w:t>
      </w:r>
      <w:r w:rsidR="0F30DCA4" w:rsidRPr="707EE838">
        <w:rPr>
          <w:rFonts w:asciiTheme="majorHAnsi" w:eastAsiaTheme="majorEastAsia" w:hAnsiTheme="majorHAnsi" w:cstheme="majorBidi"/>
          <w:sz w:val="24"/>
          <w:szCs w:val="24"/>
        </w:rPr>
        <w:t>e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"velké abstrakce" (jako zástu</w:t>
      </w:r>
      <w:r w:rsidR="30600EFE" w:rsidRPr="707EE838">
        <w:rPr>
          <w:rFonts w:asciiTheme="majorHAnsi" w:eastAsiaTheme="majorEastAsia" w:hAnsiTheme="majorHAnsi" w:cstheme="majorBidi"/>
          <w:sz w:val="24"/>
          <w:szCs w:val="24"/>
        </w:rPr>
        <w:t xml:space="preserve">pkyně 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ideálu) a </w:t>
      </w:r>
      <w:r w:rsidR="4839AE70" w:rsidRPr="707EE838">
        <w:rPr>
          <w:rFonts w:asciiTheme="majorHAnsi" w:eastAsiaTheme="majorEastAsia" w:hAnsiTheme="majorHAnsi" w:cstheme="majorBidi"/>
          <w:sz w:val="24"/>
          <w:szCs w:val="24"/>
        </w:rPr>
        <w:t>“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velkého realismu</w:t>
      </w:r>
      <w:r w:rsidR="0ABC8F68" w:rsidRPr="707EE838">
        <w:rPr>
          <w:rFonts w:asciiTheme="majorHAnsi" w:eastAsiaTheme="majorEastAsia" w:hAnsiTheme="majorHAnsi" w:cstheme="majorBidi"/>
          <w:sz w:val="24"/>
          <w:szCs w:val="24"/>
        </w:rPr>
        <w:t>”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2F8C79E4" w:rsidRPr="707EE838">
        <w:rPr>
          <w:rFonts w:asciiTheme="majorHAnsi" w:eastAsiaTheme="majorEastAsia" w:hAnsiTheme="majorHAnsi" w:cstheme="majorBidi"/>
          <w:sz w:val="24"/>
          <w:szCs w:val="24"/>
        </w:rPr>
        <w:t>vede k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nezbytn</w:t>
      </w:r>
      <w:r w:rsidR="524EAA92" w:rsidRPr="707EE838">
        <w:rPr>
          <w:rFonts w:asciiTheme="majorHAnsi" w:eastAsiaTheme="majorEastAsia" w:hAnsiTheme="majorHAnsi" w:cstheme="majorBidi"/>
          <w:sz w:val="24"/>
          <w:szCs w:val="24"/>
        </w:rPr>
        <w:t>ému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a plodn</w:t>
      </w:r>
      <w:r w:rsidR="0C3A7BB8" w:rsidRPr="707EE838">
        <w:rPr>
          <w:rFonts w:asciiTheme="majorHAnsi" w:eastAsiaTheme="majorEastAsia" w:hAnsiTheme="majorHAnsi" w:cstheme="majorBidi"/>
          <w:sz w:val="24"/>
          <w:szCs w:val="24"/>
        </w:rPr>
        <w:t>ému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napětí.</w:t>
      </w:r>
      <w:r w:rsidR="31570BE1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Velký realismus j</w:t>
      </w:r>
      <w:r w:rsidR="532B949B" w:rsidRPr="707EE838">
        <w:rPr>
          <w:rFonts w:asciiTheme="majorHAnsi" w:eastAsiaTheme="majorEastAsia" w:hAnsiTheme="majorHAnsi" w:cstheme="majorBidi"/>
          <w:sz w:val="24"/>
          <w:szCs w:val="24"/>
        </w:rPr>
        <w:t>e založen na</w:t>
      </w:r>
      <w:r w:rsidR="31570BE1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"prosté (neumělecké) reprodukci jednoduchého a reálného předmětu", zatímco velká abstrakce rezignuje na předmětné (reálné) a vytváří "nehmotné formy", které mají zprostředkovávat "obsah".</w:t>
      </w:r>
    </w:p>
    <w:p w14:paraId="2F61C2CA" w14:textId="39D71FE9" w:rsidR="2458A249" w:rsidRDefault="2458A249" w:rsidP="707EE838">
      <w:pPr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Winckelmannova představa, že se umělec nejvíce naučí z umění, uvádí poslední a teprve skutečně moderní fázi v dějinách evropského umění, v níž se umělecké dílo stává vyjádřením subjektivní tvůrčí sebereflexe. Dnes již nelze přehlédnout, že tento proces - jehož podíl na očistě dnešní formy zde nechci zpochybňovat - musí dříve či později vést k sebezrušení umění. Odhaluje </w:t>
      </w:r>
      <w:r w:rsidR="18371031" w:rsidRPr="707EE838">
        <w:rPr>
          <w:rFonts w:asciiTheme="majorHAnsi" w:eastAsiaTheme="majorEastAsia" w:hAnsiTheme="majorHAnsi" w:cstheme="majorBidi"/>
          <w:sz w:val="24"/>
          <w:szCs w:val="24"/>
        </w:rPr>
        <w:t xml:space="preserve">poslední 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monologické zúžení, odhaluje, že tvůrčí síly a možnosti směřují k závěrečné fázi samoúčelného pohybu. Ze sebereflexe se v posledním logickém a dějinném důsledku stal rozhovor se sebou samým; Winckelmannův požadavek vytvářet umění z umění se v dnešní době realizuje s bezkonkurenční výlučn</w:t>
      </w:r>
      <w:r w:rsidR="59922AFF" w:rsidRPr="707EE838">
        <w:rPr>
          <w:rFonts w:asciiTheme="majorHAnsi" w:eastAsiaTheme="majorEastAsia" w:hAnsiTheme="majorHAnsi" w:cstheme="majorBidi"/>
          <w:sz w:val="24"/>
          <w:szCs w:val="24"/>
        </w:rPr>
        <w:t>o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stí a odhodláním.</w:t>
      </w:r>
    </w:p>
    <w:p w14:paraId="7A144F55" w14:textId="72B780B3" w:rsidR="707EE838" w:rsidRDefault="707EE838" w:rsidP="707EE83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34BA9D9C" w14:textId="79629AB7" w:rsidR="2458A249" w:rsidRDefault="2458A249" w:rsidP="707EE838">
      <w:pPr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1)</w:t>
      </w:r>
      <w:r w:rsidR="4CC15FDD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Toto rozdělení je patrné již ve Winckelmannově vztahu k Rousseauovi. Umění a příroda se navzájem zpochybňují. Winckelmann shledává, že je obtížné, téměř nemožné, najít přírodninu, která by se vyrovnala vatikánskému Apollónovi: "... V přírodě lze částečně nalézt stejně velké krásno jako může vytvořit umění, ale celkově musí příroda ustoupit umění." Již kontemplace vysokých uměleckých děl vytváří kvalitní představu o skutečnosti. Jestliže se tímto způsobem umění správně vměšuje mezi oko umělce a přírody, stává se antika </w:t>
      </w:r>
      <w:r w:rsidR="6324F008" w:rsidRPr="707EE838">
        <w:rPr>
          <w:rFonts w:asciiTheme="majorHAnsi" w:eastAsiaTheme="majorEastAsia" w:hAnsiTheme="majorHAnsi" w:cstheme="majorBidi"/>
          <w:sz w:val="24"/>
          <w:szCs w:val="24"/>
        </w:rPr>
        <w:t xml:space="preserve">svébytnou </w:t>
      </w:r>
      <w:r w:rsidR="4CC15FDD" w:rsidRPr="707EE838">
        <w:rPr>
          <w:rFonts w:asciiTheme="majorHAnsi" w:eastAsiaTheme="majorEastAsia" w:hAnsiTheme="majorHAnsi" w:cstheme="majorBidi"/>
          <w:sz w:val="24"/>
          <w:szCs w:val="24"/>
        </w:rPr>
        <w:t>učitelkou umění a skutečnosti, napodobování starověku zastupuje napodobování přírody. Umění vzniká z umění. Rousseauovo hledisko je mimo veškeré umění; on umění odsuzuje ve jménu původních sil života, jejichž elementární rozvoj, jak se mu zdá, umění zatemňuje a brzdí.</w:t>
      </w:r>
    </w:p>
    <w:p w14:paraId="28E7A779" w14:textId="6C8C07C4" w:rsidR="707EE838" w:rsidRDefault="707EE838" w:rsidP="707EE838">
      <w:pPr>
        <w:ind w:left="-20" w:right="-2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04AD837B" w14:textId="16187468" w:rsidR="707EE838" w:rsidRDefault="707EE838" w:rsidP="707EE838">
      <w:pPr>
        <w:ind w:left="-20" w:right="-2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61F68D59" w14:textId="25A1C3CD" w:rsidR="707EE838" w:rsidRDefault="707EE838" w:rsidP="707EE838">
      <w:pPr>
        <w:ind w:left="-20" w:right="-2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355A8779" w14:textId="1ACCAFC2" w:rsidR="425296A6" w:rsidRDefault="425296A6" w:rsidP="707EE838">
      <w:pPr>
        <w:ind w:left="-20" w:right="-2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b/>
          <w:bCs/>
          <w:sz w:val="24"/>
          <w:szCs w:val="24"/>
        </w:rPr>
        <w:lastRenderedPageBreak/>
        <w:t>2) Hofmann, Werner: Rozhovory s viditelným. Cesty moderních dějin umění II, in: Merkur 6/1961</w:t>
      </w:r>
    </w:p>
    <w:p w14:paraId="076FB11D" w14:textId="2821563C" w:rsidR="425296A6" w:rsidRDefault="425296A6" w:rsidP="707EE838">
      <w:pPr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V návaznosti na Wölfflina byly nastoupeny dvě interpretační cesty, jedna iracionální a druhá racionální. Iracionální pohled na podstatu klade důraz na formální strukturu, kterou od obsahu ještě radikálněji izoloval již Wölfflin a výhradně z ní určuje podstatu uměleckého díla. Formální komplex je uznáván jako něco zcela zjevného, jako organická entita, vzniklá vnitřní nutností, která je bytostně a nezaměnitelně vyjádřena ve všech svých vrstvách.</w:t>
      </w:r>
    </w:p>
    <w:p w14:paraId="1E0618E0" w14:textId="291CA535" w:rsidR="70885C2C" w:rsidRDefault="70885C2C" w:rsidP="707EE838">
      <w:pPr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Hans Sedlmayr se pokusil povýšit toto chápání uměleckého díla na vědeckou metodu. Jeho esej o Bruegelově Pádu slepců (1957) začíná "fyziognomickým chápáním": "Je-li reprodukce obrazu divákovi předložena jen velmi krátce, tachistoskopicky, nejsou diváci, kteří obraz neznají, schopni učinit nějaké závěry ohledně jednotlivostí viděného obrazu. - A přesto jsou schopni nestrukturovaně, neartikulovaně zformulovat určitý celkový dojem. Diváci zakoušejí "neartikulovanou, avšak vnitřně strukturovanou celkovou kvalitu toho, co vnímají", uchopují něco "objektivního", na čem zle rozlišovat určité znaky.</w:t>
      </w:r>
    </w:p>
    <w:p w14:paraId="1987D966" w14:textId="7EA93C69" w:rsidR="61D9490B" w:rsidRDefault="61D9490B" w:rsidP="707EE838">
      <w:pPr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Z těchto vlastností - jsou to elementární vlastnosti hrozivosti, pádu atd.- vychází interpretace</w:t>
      </w:r>
      <w:r w:rsidR="1890194C" w:rsidRPr="707EE838">
        <w:rPr>
          <w:rFonts w:asciiTheme="majorHAnsi" w:eastAsiaTheme="majorEastAsia" w:hAnsiTheme="majorHAnsi" w:cstheme="majorBidi"/>
          <w:sz w:val="24"/>
          <w:szCs w:val="24"/>
        </w:rPr>
        <w:t>,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"názorný charakteru" obrazu. Jejím cílem je (po začlenění významových obsahu) postoupit k "integrálnímu porozumění". Strukturální vzorce, které se objevují v předobjektivním vnímání, tvoří základní plán, tenor, který je pozdější interpretací pouze artikulován, avšak nikoli vyvrácen.</w:t>
      </w:r>
    </w:p>
    <w:p w14:paraId="07E576F0" w14:textId="387159BB" w:rsidR="61D9490B" w:rsidRDefault="61D9490B" w:rsidP="707EE838">
      <w:pPr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Tohoto způsobu vidění může dosáhnout pouze ten, kdo se v kontaktu s abstraktní malbou naší doby naučil dívat na formu bez vztahu k předmětu. Sedlmayrovo "utvářené vidění" je formováno právě uměním, proti němuž ve svých polemikách bojuje z ideologických, nikoli formálně</w:t>
      </w:r>
      <w:r w:rsidR="0368EAC1" w:rsidRPr="707EE838">
        <w:rPr>
          <w:rFonts w:asciiTheme="majorHAnsi" w:eastAsiaTheme="majorEastAsia" w:hAnsiTheme="majorHAnsi" w:cstheme="majorBidi"/>
          <w:sz w:val="24"/>
          <w:szCs w:val="24"/>
        </w:rPr>
        <w:t>-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kritických důvodů. Je zřejmé, že tím Sedlmayr implicitně přiznává abstraktnímu </w:t>
      </w:r>
      <w:r w:rsidR="03CF6BB0" w:rsidRPr="707EE838">
        <w:rPr>
          <w:rFonts w:asciiTheme="majorHAnsi" w:eastAsiaTheme="majorEastAsia" w:hAnsiTheme="majorHAnsi" w:cstheme="majorBidi"/>
          <w:sz w:val="24"/>
          <w:szCs w:val="24"/>
        </w:rPr>
        <w:t>u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mění elementární výpovědní hodnotu.</w:t>
      </w:r>
    </w:p>
    <w:p w14:paraId="28410F73" w14:textId="2930DD3E" w:rsidR="2E52743F" w:rsidRDefault="2E52743F" w:rsidP="707EE838">
      <w:pPr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Metodologická výzbroj, kterou Sedlmayr vybavil své interpretace, funguje následujícím způsobem: aby badatel dosáhl "produktivního porozumění", potřebuje "správné nastavení", to mu zprostředkuje "kritické formy" umělce (Michelangelovu "tíhu"), národa či epochy nebo "názorný charakter" jednotlivého uměleckého díla.</w:t>
      </w:r>
      <w:r w:rsidR="00825622" w:rsidRPr="707EE83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7341043C" w14:textId="2E645E46" w:rsidR="2E52743F" w:rsidRDefault="2E52743F" w:rsidP="707EE838">
      <w:pPr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Sedlmayr tím rozumí "živou kvalitu, originalitu a individualitu, která se projevuje v celém uměleckém díle, stejně jako v každém z jeho prvků, částí a vrstev, které lze stejně jen uměle vyčlenit".  Jes</w:t>
      </w:r>
      <w:r w:rsidR="589FDD95" w:rsidRPr="707EE838">
        <w:rPr>
          <w:rFonts w:asciiTheme="majorHAnsi" w:eastAsiaTheme="majorEastAsia" w:hAnsiTheme="majorHAnsi" w:cstheme="majorBidi"/>
          <w:sz w:val="24"/>
          <w:szCs w:val="24"/>
        </w:rPr>
        <w:t>t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>liže tvarová (gestalt) psychologie tvrdí, že celek je zde dříve než části, pak tvrdí Sedlmayr, který je silně ovlivněn tvarovou psychologií, že je nejdříve potřeba poznat celek a teprve potom analyzovat jeho části.</w:t>
      </w:r>
    </w:p>
    <w:p w14:paraId="7955134B" w14:textId="2E89346B" w:rsidR="491073B7" w:rsidRDefault="491073B7" w:rsidP="707EE838">
      <w:pPr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07EE838">
        <w:rPr>
          <w:rFonts w:asciiTheme="majorHAnsi" w:eastAsiaTheme="majorEastAsia" w:hAnsiTheme="majorHAnsi" w:cstheme="majorBidi"/>
          <w:sz w:val="24"/>
          <w:szCs w:val="24"/>
        </w:rPr>
        <w:t>Toto poněkud troufalé tvrzení staví kritika vedle umělce, nebo dokonce nad něj. Stejně tak</w:t>
      </w:r>
      <w:r w:rsidR="5FD4C8BA" w:rsidRPr="707EE838">
        <w:rPr>
          <w:rFonts w:asciiTheme="majorHAnsi" w:eastAsiaTheme="majorEastAsia" w:hAnsiTheme="majorHAnsi" w:cstheme="majorBidi"/>
          <w:sz w:val="24"/>
          <w:szCs w:val="24"/>
        </w:rPr>
        <w:t>,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jako tato metoda předpokládá, že umělecké dílo vzniklo z bleskové intuice, tak také tvrdí, že "chápavý" historik umění je schopen bleskově osvětlit jeho význam, ba ještě víc: je schopen sám tvůrčím způsobem zasáhnout, totiž uchopit objekty ne "tak, jak jsou, ale změněné tak, aby se do jisté míry přiblížily svému vlastnímu ideálu.". Jejich vlastnímu ideálu, nebo ideálů</w:t>
      </w:r>
      <w:r w:rsidR="00DA0B99">
        <w:rPr>
          <w:rFonts w:asciiTheme="majorHAnsi" w:eastAsiaTheme="majorEastAsia" w:hAnsiTheme="majorHAnsi" w:cstheme="majorBidi"/>
          <w:sz w:val="24"/>
          <w:szCs w:val="24"/>
        </w:rPr>
        <w:t>m</w:t>
      </w:r>
      <w:r w:rsidRPr="707EE838">
        <w:rPr>
          <w:rFonts w:asciiTheme="majorHAnsi" w:eastAsiaTheme="majorEastAsia" w:hAnsiTheme="majorHAnsi" w:cstheme="majorBidi"/>
          <w:sz w:val="24"/>
          <w:szCs w:val="24"/>
        </w:rPr>
        <w:t xml:space="preserve"> jejich vykladače?</w:t>
      </w:r>
    </w:p>
    <w:sectPr w:rsidR="49107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8642" w14:textId="77777777" w:rsidR="00DD57EB" w:rsidRDefault="00DD57EB">
      <w:pPr>
        <w:spacing w:after="0" w:line="240" w:lineRule="auto"/>
      </w:pPr>
      <w:r>
        <w:separator/>
      </w:r>
    </w:p>
  </w:endnote>
  <w:endnote w:type="continuationSeparator" w:id="0">
    <w:p w14:paraId="3E7EA016" w14:textId="77777777" w:rsidR="00DD57EB" w:rsidRDefault="00DD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5C96" w14:textId="77777777" w:rsidR="00DD57EB" w:rsidRDefault="00DD57EB">
      <w:pPr>
        <w:spacing w:after="0" w:line="240" w:lineRule="auto"/>
      </w:pPr>
      <w:r>
        <w:separator/>
      </w:r>
    </w:p>
  </w:footnote>
  <w:footnote w:type="continuationSeparator" w:id="0">
    <w:p w14:paraId="70CC6235" w14:textId="77777777" w:rsidR="00DD57EB" w:rsidRDefault="00DD57EB">
      <w:pPr>
        <w:spacing w:after="0" w:line="240" w:lineRule="auto"/>
      </w:pPr>
      <w:r>
        <w:continuationSeparator/>
      </w:r>
    </w:p>
  </w:footnote>
  <w:footnote w:id="1">
    <w:p w14:paraId="3F3C7E78" w14:textId="02441AF2" w:rsidR="707EE838" w:rsidRDefault="707EE838" w:rsidP="707EE838">
      <w:pPr>
        <w:pStyle w:val="Textpoznpodarou"/>
      </w:pPr>
      <w:r w:rsidRPr="707EE838">
        <w:rPr>
          <w:rStyle w:val="Znakapoznpodarou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78545A"/>
    <w:rsid w:val="00825622"/>
    <w:rsid w:val="00DA0B99"/>
    <w:rsid w:val="00DD57EB"/>
    <w:rsid w:val="02C67AD2"/>
    <w:rsid w:val="0368EAC1"/>
    <w:rsid w:val="03CF6BB0"/>
    <w:rsid w:val="09317704"/>
    <w:rsid w:val="0ABC8F68"/>
    <w:rsid w:val="0C3A7BB8"/>
    <w:rsid w:val="0D2195C2"/>
    <w:rsid w:val="0F30DCA4"/>
    <w:rsid w:val="0FB28197"/>
    <w:rsid w:val="1094373E"/>
    <w:rsid w:val="12798D56"/>
    <w:rsid w:val="183159D0"/>
    <w:rsid w:val="18371031"/>
    <w:rsid w:val="1890194C"/>
    <w:rsid w:val="1C1DF516"/>
    <w:rsid w:val="1DB07DF4"/>
    <w:rsid w:val="1DB9C577"/>
    <w:rsid w:val="1E13BE12"/>
    <w:rsid w:val="2458A249"/>
    <w:rsid w:val="24C6D752"/>
    <w:rsid w:val="261C3812"/>
    <w:rsid w:val="28343BBC"/>
    <w:rsid w:val="2A3C49AA"/>
    <w:rsid w:val="2E52743F"/>
    <w:rsid w:val="2F73A728"/>
    <w:rsid w:val="2F8C79E4"/>
    <w:rsid w:val="2F9AA4CA"/>
    <w:rsid w:val="2FABB550"/>
    <w:rsid w:val="30600EFE"/>
    <w:rsid w:val="31570BE1"/>
    <w:rsid w:val="33307A08"/>
    <w:rsid w:val="3447184B"/>
    <w:rsid w:val="3BA7D5BE"/>
    <w:rsid w:val="3EAE40CB"/>
    <w:rsid w:val="408595B7"/>
    <w:rsid w:val="425296A6"/>
    <w:rsid w:val="441BDB93"/>
    <w:rsid w:val="4839AE70"/>
    <w:rsid w:val="491073B7"/>
    <w:rsid w:val="4973DDBF"/>
    <w:rsid w:val="4CC15FDD"/>
    <w:rsid w:val="4E167C8F"/>
    <w:rsid w:val="4E861EB3"/>
    <w:rsid w:val="4FB24CF0"/>
    <w:rsid w:val="514E1D51"/>
    <w:rsid w:val="523E3DE4"/>
    <w:rsid w:val="524EAA92"/>
    <w:rsid w:val="532B949B"/>
    <w:rsid w:val="589FDD95"/>
    <w:rsid w:val="59922AFF"/>
    <w:rsid w:val="59A853EA"/>
    <w:rsid w:val="5E973FB7"/>
    <w:rsid w:val="5FD4C8BA"/>
    <w:rsid w:val="61D9490B"/>
    <w:rsid w:val="6324F008"/>
    <w:rsid w:val="64041209"/>
    <w:rsid w:val="68393467"/>
    <w:rsid w:val="6BE5BDF7"/>
    <w:rsid w:val="6D474776"/>
    <w:rsid w:val="6D818E58"/>
    <w:rsid w:val="6E78545A"/>
    <w:rsid w:val="6E8B8FE3"/>
    <w:rsid w:val="6EE317D7"/>
    <w:rsid w:val="707EE838"/>
    <w:rsid w:val="70885C2C"/>
    <w:rsid w:val="74038783"/>
    <w:rsid w:val="7A67FEE6"/>
    <w:rsid w:val="7ECE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545A"/>
  <w15:chartTrackingRefBased/>
  <w15:docId w15:val="{27D56236-71DC-4D1C-95D9-427C8C80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2</cp:revision>
  <dcterms:created xsi:type="dcterms:W3CDTF">2024-03-22T17:36:00Z</dcterms:created>
  <dcterms:modified xsi:type="dcterms:W3CDTF">2024-03-25T09:41:00Z</dcterms:modified>
</cp:coreProperties>
</file>