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right"/>
        <w:rPr/>
      </w:pPr>
      <w:r w:rsidDel="00000000" w:rsidR="00000000" w:rsidRPr="00000000">
        <w:rPr/>
        <w:drawing>
          <wp:inline distB="0" distT="0" distL="0" distR="0">
            <wp:extent cx="857250" cy="647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57250" cy="647700"/>
                    </a:xfrm>
                    <a:prstGeom prst="rect"/>
                    <a:ln/>
                  </pic:spPr>
                </pic:pic>
              </a:graphicData>
            </a:graphic>
          </wp:inline>
        </w:drawing>
      </w:r>
      <w:r w:rsidDel="00000000" w:rsidR="00000000" w:rsidRPr="00000000">
        <w:rPr>
          <w:rtl w:val="0"/>
        </w:rPr>
        <w:br w:type="textWrapping"/>
        <w:t xml:space="preserve">Ústav germanistiky, </w:t>
        <w:br w:type="textWrapping"/>
        <w:t xml:space="preserve">nordistiky a nederlandistiky</w:t>
      </w:r>
    </w:p>
    <w:p w:rsidR="00000000" w:rsidDel="00000000" w:rsidP="00000000" w:rsidRDefault="00000000" w:rsidRPr="00000000" w14:paraId="00000002">
      <w:pPr>
        <w:spacing w:line="360" w:lineRule="auto"/>
        <w:jc w:val="right"/>
        <w:rPr/>
      </w:pPr>
      <w:r w:rsidDel="00000000" w:rsidR="00000000" w:rsidRPr="00000000">
        <w:rPr>
          <w:b w:val="1"/>
          <w:rtl w:val="0"/>
        </w:rPr>
        <w:t xml:space="preserve">NJI_14A Kapitoly z dějin německé literatury II</w:t>
      </w:r>
      <w:r w:rsidDel="00000000" w:rsidR="00000000" w:rsidRPr="00000000">
        <w:rPr>
          <w:rtl w:val="0"/>
        </w:rPr>
        <w:br w:type="textWrapping"/>
        <w:t xml:space="preserve">Mgr. Jan Budňák, Ph.D., PhDr. Zdeněk Mareček, Ph.D., </w:t>
        <w:br w:type="textWrapping"/>
        <w:t xml:space="preserve">Mgr. Martina Trombiková, Ph.D., doc. Mgr. Aleš Urválek, Ph.D.</w:t>
      </w:r>
    </w:p>
    <w:p w:rsidR="00000000" w:rsidDel="00000000" w:rsidP="00000000" w:rsidRDefault="00000000" w:rsidRPr="00000000" w14:paraId="00000003">
      <w:pPr>
        <w:rPr>
          <w:sz w:val="32"/>
          <w:szCs w:val="32"/>
        </w:rPr>
      </w:pPr>
      <w:r w:rsidDel="00000000" w:rsidR="00000000" w:rsidRPr="00000000">
        <w:rPr>
          <w:rtl w:val="0"/>
        </w:rPr>
      </w:r>
    </w:p>
    <w:p w:rsidR="00000000" w:rsidDel="00000000" w:rsidP="00000000" w:rsidRDefault="00000000" w:rsidRPr="00000000" w14:paraId="00000004">
      <w:pPr>
        <w:rPr/>
      </w:pPr>
      <w:r w:rsidDel="00000000" w:rsidR="00000000" w:rsidRPr="00000000">
        <w:rPr>
          <w:b w:val="1"/>
          <w:sz w:val="32"/>
          <w:szCs w:val="32"/>
          <w:rtl w:val="0"/>
        </w:rPr>
        <w:t xml:space="preserve">NJI_14A Kapitoly z dějin německé literatury II</w:t>
      </w:r>
      <w:r w:rsidDel="00000000" w:rsidR="00000000" w:rsidRPr="00000000">
        <w:rPr>
          <w:rtl w:val="0"/>
        </w:rPr>
        <w:br w:type="textWrapping"/>
      </w:r>
      <w:r w:rsidDel="00000000" w:rsidR="00000000" w:rsidRPr="00000000">
        <w:rPr>
          <w:b w:val="1"/>
          <w:sz w:val="32"/>
          <w:szCs w:val="32"/>
          <w:rtl w:val="0"/>
        </w:rPr>
        <w:t xml:space="preserve">jaro 2025</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6"/>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TERMÍN A MÍSTO KONÁNÍ PŘEDMĚTU</w:t>
      </w:r>
    </w:p>
    <w:p w:rsidR="00000000" w:rsidDel="00000000" w:rsidP="00000000" w:rsidRDefault="00000000" w:rsidRPr="00000000" w14:paraId="00000007">
      <w:pPr>
        <w:rPr/>
      </w:pPr>
      <w:r w:rsidDel="00000000" w:rsidR="00000000" w:rsidRPr="00000000">
        <w:rPr>
          <w:rtl w:val="0"/>
        </w:rPr>
        <w:t xml:space="preserve">středa </w:t>
      </w:r>
      <w:r w:rsidDel="00000000" w:rsidR="00000000" w:rsidRPr="00000000">
        <w:rPr>
          <w:u w:val="single"/>
          <w:rtl w:val="0"/>
        </w:rPr>
        <w:t xml:space="preserve">10:00 – 11:30</w:t>
      </w:r>
      <w:r w:rsidDel="00000000" w:rsidR="00000000" w:rsidRPr="00000000">
        <w:rPr>
          <w:rtl w:val="0"/>
        </w:rPr>
        <w:t xml:space="preserve">, K33</w:t>
      </w:r>
    </w:p>
    <w:p w:rsidR="00000000" w:rsidDel="00000000" w:rsidP="00000000" w:rsidRDefault="00000000" w:rsidRPr="00000000" w14:paraId="00000008">
      <w:pPr>
        <w:numPr>
          <w:ilvl w:val="0"/>
          <w:numId w:val="5"/>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VYUČUJÍCÍ</w:t>
      </w:r>
    </w:p>
    <w:p w:rsidR="00000000" w:rsidDel="00000000" w:rsidP="00000000" w:rsidRDefault="00000000" w:rsidRPr="00000000" w14:paraId="00000009">
      <w:pPr>
        <w:spacing w:after="0" w:lineRule="auto"/>
        <w:rPr>
          <w:sz w:val="21"/>
          <w:szCs w:val="21"/>
        </w:rPr>
      </w:pPr>
      <w:r w:rsidDel="00000000" w:rsidR="00000000" w:rsidRPr="00000000">
        <w:rPr>
          <w:rtl w:val="0"/>
        </w:rPr>
        <w:t xml:space="preserve">Mgr. Jan Budňák, Ph.D.</w:t>
        <w:br w:type="textWrapping"/>
        <w:t xml:space="preserve">PhDr. Zdeněk Mareček, Ph.D. </w:t>
      </w:r>
      <w:r w:rsidDel="00000000" w:rsidR="00000000" w:rsidRPr="00000000">
        <w:rPr>
          <w:rtl w:val="0"/>
        </w:rPr>
      </w:r>
    </w:p>
    <w:p w:rsidR="00000000" w:rsidDel="00000000" w:rsidP="00000000" w:rsidRDefault="00000000" w:rsidRPr="00000000" w14:paraId="0000000A">
      <w:pPr>
        <w:spacing w:after="0" w:lineRule="auto"/>
        <w:rPr>
          <w:sz w:val="21"/>
          <w:szCs w:val="21"/>
        </w:rPr>
      </w:pPr>
      <w:r w:rsidDel="00000000" w:rsidR="00000000" w:rsidRPr="00000000">
        <w:rPr>
          <w:rtl w:val="0"/>
        </w:rPr>
        <w:t xml:space="preserve">Doc. Mgr. Sylvie Stanovská, Dr.</w:t>
        <w:br w:type="textWrapping"/>
        <w:t xml:space="preserve">doc. Mgr. Aleš Urválek, Ph.D. </w:t>
        <w:br w:type="textWrapping"/>
        <w:t xml:space="preserve">+ hosté:</w:t>
      </w:r>
      <w:r w:rsidDel="00000000" w:rsidR="00000000" w:rsidRPr="00000000">
        <w:rPr>
          <w:sz w:val="21"/>
          <w:szCs w:val="21"/>
          <w:rtl w:val="0"/>
        </w:rPr>
        <w:t xml:space="preserve"> Prof. Dr. Rolf Parr, Erkan Osmanović, MA</w:t>
      </w:r>
    </w:p>
    <w:p w:rsidR="00000000" w:rsidDel="00000000" w:rsidP="00000000" w:rsidRDefault="00000000" w:rsidRPr="00000000" w14:paraId="0000000B">
      <w:pPr>
        <w:rPr>
          <w:sz w:val="21"/>
          <w:szCs w:val="21"/>
        </w:rPr>
      </w:pPr>
      <w:r w:rsidDel="00000000" w:rsidR="00000000" w:rsidRPr="00000000">
        <w:rPr>
          <w:rtl w:val="0"/>
        </w:rPr>
      </w:r>
    </w:p>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PLÁN</w:t>
      </w:r>
    </w:p>
    <w:tbl>
      <w:tblPr>
        <w:tblStyle w:val="Table1"/>
        <w:tblW w:w="89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585"/>
        <w:gridCol w:w="1020"/>
        <w:gridCol w:w="3180"/>
        <w:gridCol w:w="3195"/>
        <w:gridCol w:w="990"/>
        <w:tblGridChange w:id="0">
          <w:tblGrid>
            <w:gridCol w:w="585"/>
            <w:gridCol w:w="1020"/>
            <w:gridCol w:w="3180"/>
            <w:gridCol w:w="3195"/>
            <w:gridCol w:w="990"/>
          </w:tblGrid>
        </w:tblGridChange>
      </w:tblGrid>
      <w:tr>
        <w:trPr>
          <w:cantSplit w:val="0"/>
          <w:tblHeader w:val="0"/>
        </w:trPr>
        <w:tc>
          <w:tcPr>
            <w:vAlign w:val="center"/>
          </w:tcPr>
          <w:p w:rsidR="00000000" w:rsidDel="00000000" w:rsidP="00000000" w:rsidRDefault="00000000" w:rsidRPr="00000000" w14:paraId="0000000D">
            <w:pPr>
              <w:rPr>
                <w:sz w:val="21"/>
                <w:szCs w:val="21"/>
              </w:rPr>
            </w:pPr>
            <w:r w:rsidDel="00000000" w:rsidR="00000000" w:rsidRPr="00000000">
              <w:rPr>
                <w:sz w:val="21"/>
                <w:szCs w:val="21"/>
                <w:rtl w:val="0"/>
              </w:rPr>
              <w:t xml:space="preserve">1.</w:t>
            </w:r>
          </w:p>
        </w:tc>
        <w:tc>
          <w:tcPr>
            <w:vAlign w:val="center"/>
          </w:tcPr>
          <w:p w:rsidR="00000000" w:rsidDel="00000000" w:rsidP="00000000" w:rsidRDefault="00000000" w:rsidRPr="00000000" w14:paraId="0000000E">
            <w:pPr>
              <w:rPr>
                <w:sz w:val="21"/>
                <w:szCs w:val="21"/>
              </w:rPr>
            </w:pPr>
            <w:r w:rsidDel="00000000" w:rsidR="00000000" w:rsidRPr="00000000">
              <w:rPr>
                <w:sz w:val="21"/>
                <w:szCs w:val="21"/>
                <w:rtl w:val="0"/>
              </w:rPr>
              <w:t xml:space="preserve">19.2.25</w:t>
            </w:r>
          </w:p>
        </w:tc>
        <w:tc>
          <w:tcPr>
            <w:vAlign w:val="center"/>
          </w:tcPr>
          <w:p w:rsidR="00000000" w:rsidDel="00000000" w:rsidP="00000000" w:rsidRDefault="00000000" w:rsidRPr="00000000" w14:paraId="0000000F">
            <w:pPr>
              <w:rPr>
                <w:sz w:val="24"/>
                <w:szCs w:val="24"/>
              </w:rPr>
            </w:pPr>
            <w:r w:rsidDel="00000000" w:rsidR="00000000" w:rsidRPr="00000000">
              <w:rPr>
                <w:sz w:val="24"/>
                <w:szCs w:val="24"/>
                <w:rtl w:val="0"/>
              </w:rPr>
              <w:t xml:space="preserve">Heinrich Heine</w:t>
            </w:r>
          </w:p>
        </w:tc>
        <w:tc>
          <w:tcPr>
            <w:vAlign w:val="center"/>
          </w:tcPr>
          <w:p w:rsidR="00000000" w:rsidDel="00000000" w:rsidP="00000000" w:rsidRDefault="00000000" w:rsidRPr="00000000" w14:paraId="00000010">
            <w:pPr>
              <w:rPr>
                <w:sz w:val="21"/>
                <w:szCs w:val="21"/>
              </w:rPr>
            </w:pPr>
            <w:r w:rsidDel="00000000" w:rsidR="00000000" w:rsidRPr="00000000">
              <w:rPr>
                <w:rtl w:val="0"/>
              </w:rPr>
              <w:t xml:space="preserve">Jan Budňák</w:t>
            </w:r>
            <w:r w:rsidDel="00000000" w:rsidR="00000000" w:rsidRPr="00000000">
              <w:rPr>
                <w:rtl w:val="0"/>
              </w:rPr>
            </w:r>
          </w:p>
        </w:tc>
        <w:tc>
          <w:tcPr>
            <w:vAlign w:val="center"/>
          </w:tcPr>
          <w:p w:rsidR="00000000" w:rsidDel="00000000" w:rsidP="00000000" w:rsidRDefault="00000000" w:rsidRPr="00000000" w14:paraId="00000011">
            <w:pPr>
              <w:rPr>
                <w:sz w:val="21"/>
                <w:szCs w:val="2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2">
            <w:pPr>
              <w:rPr>
                <w:sz w:val="21"/>
                <w:szCs w:val="21"/>
              </w:rPr>
            </w:pPr>
            <w:r w:rsidDel="00000000" w:rsidR="00000000" w:rsidRPr="00000000">
              <w:rPr>
                <w:sz w:val="21"/>
                <w:szCs w:val="21"/>
                <w:rtl w:val="0"/>
              </w:rPr>
              <w:t xml:space="preserve">2.</w:t>
            </w:r>
          </w:p>
        </w:tc>
        <w:tc>
          <w:tcPr>
            <w:vAlign w:val="center"/>
          </w:tcPr>
          <w:p w:rsidR="00000000" w:rsidDel="00000000" w:rsidP="00000000" w:rsidRDefault="00000000" w:rsidRPr="00000000" w14:paraId="00000013">
            <w:pPr>
              <w:rPr>
                <w:sz w:val="21"/>
                <w:szCs w:val="21"/>
              </w:rPr>
            </w:pPr>
            <w:r w:rsidDel="00000000" w:rsidR="00000000" w:rsidRPr="00000000">
              <w:rPr>
                <w:sz w:val="21"/>
                <w:szCs w:val="21"/>
                <w:rtl w:val="0"/>
              </w:rPr>
              <w:t xml:space="preserve">26.2.25</w:t>
            </w:r>
          </w:p>
        </w:tc>
        <w:tc>
          <w:tcPr>
            <w:vAlign w:val="center"/>
          </w:tcPr>
          <w:p w:rsidR="00000000" w:rsidDel="00000000" w:rsidP="00000000" w:rsidRDefault="00000000" w:rsidRPr="00000000" w14:paraId="00000014">
            <w:pPr>
              <w:rPr>
                <w:sz w:val="24"/>
                <w:szCs w:val="24"/>
              </w:rPr>
            </w:pPr>
            <w:r w:rsidDel="00000000" w:rsidR="00000000" w:rsidRPr="00000000">
              <w:rPr>
                <w:sz w:val="24"/>
                <w:szCs w:val="24"/>
                <w:rtl w:val="0"/>
              </w:rPr>
              <w:t xml:space="preserve">Georg Büchner</w:t>
            </w:r>
          </w:p>
        </w:tc>
        <w:tc>
          <w:tcPr>
            <w:vAlign w:val="center"/>
          </w:tcPr>
          <w:p w:rsidR="00000000" w:rsidDel="00000000" w:rsidP="00000000" w:rsidRDefault="00000000" w:rsidRPr="00000000" w14:paraId="00000015">
            <w:pPr>
              <w:rPr/>
            </w:pPr>
            <w:r w:rsidDel="00000000" w:rsidR="00000000" w:rsidRPr="00000000">
              <w:rPr>
                <w:rtl w:val="0"/>
              </w:rPr>
              <w:t xml:space="preserve">Jan Budňák</w:t>
            </w:r>
          </w:p>
        </w:tc>
        <w:tc>
          <w:tcPr>
            <w:vAlign w:val="center"/>
          </w:tcPr>
          <w:p w:rsidR="00000000" w:rsidDel="00000000" w:rsidP="00000000" w:rsidRDefault="00000000" w:rsidRPr="00000000" w14:paraId="00000016">
            <w:pPr>
              <w:rPr>
                <w:sz w:val="21"/>
                <w:szCs w:val="2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7">
            <w:pPr>
              <w:rPr>
                <w:sz w:val="21"/>
                <w:szCs w:val="21"/>
              </w:rPr>
            </w:pPr>
            <w:r w:rsidDel="00000000" w:rsidR="00000000" w:rsidRPr="00000000">
              <w:rPr>
                <w:sz w:val="21"/>
                <w:szCs w:val="21"/>
                <w:rtl w:val="0"/>
              </w:rPr>
              <w:t xml:space="preserve">3.</w:t>
            </w:r>
          </w:p>
        </w:tc>
        <w:tc>
          <w:tcPr>
            <w:vAlign w:val="center"/>
          </w:tcPr>
          <w:p w:rsidR="00000000" w:rsidDel="00000000" w:rsidP="00000000" w:rsidRDefault="00000000" w:rsidRPr="00000000" w14:paraId="00000018">
            <w:pPr>
              <w:rPr>
                <w:sz w:val="21"/>
                <w:szCs w:val="21"/>
              </w:rPr>
            </w:pPr>
            <w:r w:rsidDel="00000000" w:rsidR="00000000" w:rsidRPr="00000000">
              <w:rPr>
                <w:sz w:val="21"/>
                <w:szCs w:val="21"/>
                <w:rtl w:val="0"/>
              </w:rPr>
              <w:t xml:space="preserve">5.3.25</w:t>
            </w:r>
          </w:p>
        </w:tc>
        <w:tc>
          <w:tcPr>
            <w:vAlign w:val="center"/>
          </w:tcPr>
          <w:p w:rsidR="00000000" w:rsidDel="00000000" w:rsidP="00000000" w:rsidRDefault="00000000" w:rsidRPr="00000000" w14:paraId="00000019">
            <w:pPr>
              <w:rPr>
                <w:sz w:val="24"/>
                <w:szCs w:val="24"/>
              </w:rPr>
            </w:pPr>
            <w:r w:rsidDel="00000000" w:rsidR="00000000" w:rsidRPr="00000000">
              <w:rPr>
                <w:sz w:val="24"/>
                <w:szCs w:val="24"/>
                <w:rtl w:val="0"/>
              </w:rPr>
              <w:t xml:space="preserve">Franz Grillparzer</w:t>
            </w:r>
          </w:p>
        </w:tc>
        <w:tc>
          <w:tcPr>
            <w:vAlign w:val="center"/>
          </w:tcPr>
          <w:p w:rsidR="00000000" w:rsidDel="00000000" w:rsidP="00000000" w:rsidRDefault="00000000" w:rsidRPr="00000000" w14:paraId="0000001A">
            <w:pPr>
              <w:rPr/>
            </w:pPr>
            <w:r w:rsidDel="00000000" w:rsidR="00000000" w:rsidRPr="00000000">
              <w:rPr>
                <w:rtl w:val="0"/>
              </w:rPr>
              <w:t xml:space="preserve">Zdeněk Mareček</w:t>
            </w:r>
          </w:p>
        </w:tc>
        <w:tc>
          <w:tcPr>
            <w:vAlign w:val="center"/>
          </w:tcPr>
          <w:p w:rsidR="00000000" w:rsidDel="00000000" w:rsidP="00000000" w:rsidRDefault="00000000" w:rsidRPr="00000000" w14:paraId="0000001B">
            <w:pPr>
              <w:rPr>
                <w:sz w:val="21"/>
                <w:szCs w:val="21"/>
              </w:rPr>
            </w:pPr>
            <w:r w:rsidDel="00000000" w:rsidR="00000000" w:rsidRPr="00000000">
              <w:rPr>
                <w:rtl w:val="0"/>
              </w:rPr>
            </w:r>
          </w:p>
        </w:tc>
      </w:tr>
      <w:tr>
        <w:trPr>
          <w:cantSplit w:val="0"/>
          <w:trHeight w:val="585" w:hRule="atLeast"/>
          <w:tblHeader w:val="0"/>
        </w:trPr>
        <w:tc>
          <w:tcPr>
            <w:vAlign w:val="center"/>
          </w:tcPr>
          <w:p w:rsidR="00000000" w:rsidDel="00000000" w:rsidP="00000000" w:rsidRDefault="00000000" w:rsidRPr="00000000" w14:paraId="0000001C">
            <w:pPr>
              <w:rPr>
                <w:sz w:val="21"/>
                <w:szCs w:val="21"/>
              </w:rPr>
            </w:pPr>
            <w:r w:rsidDel="00000000" w:rsidR="00000000" w:rsidRPr="00000000">
              <w:rPr>
                <w:sz w:val="21"/>
                <w:szCs w:val="21"/>
                <w:rtl w:val="0"/>
              </w:rPr>
              <w:t xml:space="preserve">4.</w:t>
            </w:r>
          </w:p>
        </w:tc>
        <w:tc>
          <w:tcPr>
            <w:vAlign w:val="center"/>
          </w:tcPr>
          <w:p w:rsidR="00000000" w:rsidDel="00000000" w:rsidP="00000000" w:rsidRDefault="00000000" w:rsidRPr="00000000" w14:paraId="0000001D">
            <w:pPr>
              <w:rPr>
                <w:sz w:val="21"/>
                <w:szCs w:val="21"/>
              </w:rPr>
            </w:pPr>
            <w:r w:rsidDel="00000000" w:rsidR="00000000" w:rsidRPr="00000000">
              <w:rPr>
                <w:sz w:val="21"/>
                <w:szCs w:val="21"/>
                <w:rtl w:val="0"/>
              </w:rPr>
              <w:t xml:space="preserve">12.3.25</w:t>
            </w:r>
          </w:p>
        </w:tc>
        <w:tc>
          <w:tcPr>
            <w:vAlign w:val="center"/>
          </w:tcPr>
          <w:p w:rsidR="00000000" w:rsidDel="00000000" w:rsidP="00000000" w:rsidRDefault="00000000" w:rsidRPr="00000000" w14:paraId="0000001E">
            <w:pPr>
              <w:rPr>
                <w:sz w:val="24"/>
                <w:szCs w:val="24"/>
              </w:rPr>
            </w:pPr>
            <w:r w:rsidDel="00000000" w:rsidR="00000000" w:rsidRPr="00000000">
              <w:rPr>
                <w:sz w:val="24"/>
                <w:szCs w:val="24"/>
                <w:rtl w:val="0"/>
              </w:rPr>
              <w:t xml:space="preserve">Johann Nepomuk Nestroy + divadelní Vídeň</w:t>
            </w:r>
          </w:p>
        </w:tc>
        <w:tc>
          <w:tcPr>
            <w:vAlign w:val="center"/>
          </w:tcPr>
          <w:p w:rsidR="00000000" w:rsidDel="00000000" w:rsidP="00000000" w:rsidRDefault="00000000" w:rsidRPr="00000000" w14:paraId="0000001F">
            <w:pPr>
              <w:rPr>
                <w:sz w:val="21"/>
                <w:szCs w:val="21"/>
              </w:rPr>
            </w:pPr>
            <w:r w:rsidDel="00000000" w:rsidR="00000000" w:rsidRPr="00000000">
              <w:rPr>
                <w:rtl w:val="0"/>
              </w:rPr>
              <w:t xml:space="preserve">Zdeněk Mareček</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tc>
        <w:tc>
          <w:tcPr>
            <w:vAlign w:val="center"/>
          </w:tcPr>
          <w:p w:rsidR="00000000" w:rsidDel="00000000" w:rsidP="00000000" w:rsidRDefault="00000000" w:rsidRPr="00000000" w14:paraId="00000021">
            <w:pPr>
              <w:rPr>
                <w:sz w:val="21"/>
                <w:szCs w:val="2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2">
            <w:pPr>
              <w:rPr>
                <w:sz w:val="21"/>
                <w:szCs w:val="21"/>
              </w:rPr>
            </w:pPr>
            <w:r w:rsidDel="00000000" w:rsidR="00000000" w:rsidRPr="00000000">
              <w:rPr>
                <w:sz w:val="21"/>
                <w:szCs w:val="21"/>
                <w:rtl w:val="0"/>
              </w:rPr>
              <w:t xml:space="preserve">5.</w:t>
            </w:r>
          </w:p>
        </w:tc>
        <w:tc>
          <w:tcPr>
            <w:vAlign w:val="center"/>
          </w:tcPr>
          <w:p w:rsidR="00000000" w:rsidDel="00000000" w:rsidP="00000000" w:rsidRDefault="00000000" w:rsidRPr="00000000" w14:paraId="00000023">
            <w:pPr>
              <w:rPr>
                <w:sz w:val="21"/>
                <w:szCs w:val="21"/>
              </w:rPr>
            </w:pPr>
            <w:r w:rsidDel="00000000" w:rsidR="00000000" w:rsidRPr="00000000">
              <w:rPr>
                <w:sz w:val="21"/>
                <w:szCs w:val="21"/>
                <w:rtl w:val="0"/>
              </w:rPr>
              <w:t xml:space="preserve">19.3.25</w:t>
            </w:r>
          </w:p>
        </w:tc>
        <w:tc>
          <w:tcPr>
            <w:vAlign w:val="center"/>
          </w:tcPr>
          <w:p w:rsidR="00000000" w:rsidDel="00000000" w:rsidP="00000000" w:rsidRDefault="00000000" w:rsidRPr="00000000" w14:paraId="00000024">
            <w:pPr>
              <w:rPr>
                <w:sz w:val="24"/>
                <w:szCs w:val="24"/>
              </w:rPr>
            </w:pPr>
            <w:r w:rsidDel="00000000" w:rsidR="00000000" w:rsidRPr="00000000">
              <w:rPr>
                <w:sz w:val="24"/>
                <w:szCs w:val="24"/>
                <w:rtl w:val="0"/>
              </w:rPr>
              <w:t xml:space="preserve">Adalbert Stifter</w:t>
            </w:r>
          </w:p>
        </w:tc>
        <w:tc>
          <w:tcPr>
            <w:vAlign w:val="center"/>
          </w:tcPr>
          <w:p w:rsidR="00000000" w:rsidDel="00000000" w:rsidP="00000000" w:rsidRDefault="00000000" w:rsidRPr="00000000" w14:paraId="00000025">
            <w:pPr>
              <w:rPr>
                <w:sz w:val="21"/>
                <w:szCs w:val="21"/>
              </w:rPr>
            </w:pPr>
            <w:r w:rsidDel="00000000" w:rsidR="00000000" w:rsidRPr="00000000">
              <w:rPr>
                <w:rtl w:val="0"/>
              </w:rPr>
              <w:t xml:space="preserve">Zdeněk Mareček</w:t>
            </w:r>
            <w:r w:rsidDel="00000000" w:rsidR="00000000" w:rsidRPr="00000000">
              <w:rPr>
                <w:rtl w:val="0"/>
              </w:rPr>
            </w:r>
          </w:p>
        </w:tc>
        <w:tc>
          <w:tcPr>
            <w:vAlign w:val="center"/>
          </w:tcPr>
          <w:p w:rsidR="00000000" w:rsidDel="00000000" w:rsidP="00000000" w:rsidRDefault="00000000" w:rsidRPr="00000000" w14:paraId="00000026">
            <w:pPr>
              <w:rPr>
                <w:sz w:val="21"/>
                <w:szCs w:val="2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7">
            <w:pPr>
              <w:rPr>
                <w:sz w:val="21"/>
                <w:szCs w:val="21"/>
              </w:rPr>
            </w:pPr>
            <w:r w:rsidDel="00000000" w:rsidR="00000000" w:rsidRPr="00000000">
              <w:rPr>
                <w:sz w:val="21"/>
                <w:szCs w:val="21"/>
                <w:rtl w:val="0"/>
              </w:rPr>
              <w:t xml:space="preserve">6.</w:t>
            </w:r>
          </w:p>
        </w:tc>
        <w:tc>
          <w:tcPr>
            <w:vAlign w:val="center"/>
          </w:tcPr>
          <w:p w:rsidR="00000000" w:rsidDel="00000000" w:rsidP="00000000" w:rsidRDefault="00000000" w:rsidRPr="00000000" w14:paraId="00000028">
            <w:pPr>
              <w:rPr>
                <w:sz w:val="21"/>
                <w:szCs w:val="21"/>
              </w:rPr>
            </w:pPr>
            <w:r w:rsidDel="00000000" w:rsidR="00000000" w:rsidRPr="00000000">
              <w:rPr>
                <w:sz w:val="21"/>
                <w:szCs w:val="21"/>
                <w:rtl w:val="0"/>
              </w:rPr>
              <w:t xml:space="preserve">26.3.25</w:t>
            </w:r>
          </w:p>
        </w:tc>
        <w:tc>
          <w:tcPr>
            <w:vAlign w:val="center"/>
          </w:tcPr>
          <w:p w:rsidR="00000000" w:rsidDel="00000000" w:rsidP="00000000" w:rsidRDefault="00000000" w:rsidRPr="00000000" w14:paraId="00000029">
            <w:pPr>
              <w:rPr>
                <w:sz w:val="24"/>
                <w:szCs w:val="24"/>
              </w:rPr>
            </w:pPr>
            <w:r w:rsidDel="00000000" w:rsidR="00000000" w:rsidRPr="00000000">
              <w:rPr>
                <w:sz w:val="24"/>
                <w:szCs w:val="24"/>
                <w:rtl w:val="0"/>
              </w:rPr>
              <w:t xml:space="preserve"> </w:t>
            </w:r>
          </w:p>
          <w:p w:rsidR="00000000" w:rsidDel="00000000" w:rsidP="00000000" w:rsidRDefault="00000000" w:rsidRPr="00000000" w14:paraId="0000002A">
            <w:pPr>
              <w:rPr>
                <w:sz w:val="24"/>
                <w:szCs w:val="24"/>
              </w:rPr>
            </w:pPr>
            <w:r w:rsidDel="00000000" w:rsidR="00000000" w:rsidRPr="00000000">
              <w:rPr>
                <w:sz w:val="24"/>
                <w:szCs w:val="24"/>
                <w:rtl w:val="0"/>
              </w:rPr>
              <w:t xml:space="preserve">Theodor Fontane</w:t>
            </w:r>
          </w:p>
          <w:p w:rsidR="00000000" w:rsidDel="00000000" w:rsidP="00000000" w:rsidRDefault="00000000" w:rsidRPr="00000000" w14:paraId="0000002B">
            <w:pPr>
              <w:rPr>
                <w:sz w:val="24"/>
                <w:szCs w:val="24"/>
              </w:rPr>
            </w:pPr>
            <w:r w:rsidDel="00000000" w:rsidR="00000000" w:rsidRPr="00000000">
              <w:rPr>
                <w:rtl w:val="0"/>
              </w:rPr>
            </w:r>
          </w:p>
        </w:tc>
        <w:tc>
          <w:tcPr>
            <w:vAlign w:val="center"/>
          </w:tcPr>
          <w:p w:rsidR="00000000" w:rsidDel="00000000" w:rsidP="00000000" w:rsidRDefault="00000000" w:rsidRPr="00000000" w14:paraId="0000002C">
            <w:pPr>
              <w:rPr/>
            </w:pPr>
            <w:r w:rsidDel="00000000" w:rsidR="00000000" w:rsidRPr="00000000">
              <w:rPr>
                <w:sz w:val="21"/>
                <w:szCs w:val="21"/>
                <w:rtl w:val="0"/>
              </w:rPr>
              <w:t xml:space="preserve">Rolf Parr (ze záznamu)</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tc>
        <w:tc>
          <w:tcPr>
            <w:vAlign w:val="center"/>
          </w:tcPr>
          <w:p w:rsidR="00000000" w:rsidDel="00000000" w:rsidP="00000000" w:rsidRDefault="00000000" w:rsidRPr="00000000" w14:paraId="0000002E">
            <w:pPr>
              <w:rPr>
                <w:sz w:val="21"/>
                <w:szCs w:val="2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F">
            <w:pPr>
              <w:rPr>
                <w:sz w:val="21"/>
                <w:szCs w:val="21"/>
              </w:rPr>
            </w:pPr>
            <w:r w:rsidDel="00000000" w:rsidR="00000000" w:rsidRPr="00000000">
              <w:rPr>
                <w:sz w:val="21"/>
                <w:szCs w:val="21"/>
                <w:rtl w:val="0"/>
              </w:rPr>
              <w:t xml:space="preserve">7.</w:t>
            </w:r>
          </w:p>
        </w:tc>
        <w:tc>
          <w:tcPr>
            <w:vAlign w:val="center"/>
          </w:tcPr>
          <w:p w:rsidR="00000000" w:rsidDel="00000000" w:rsidP="00000000" w:rsidRDefault="00000000" w:rsidRPr="00000000" w14:paraId="00000030">
            <w:pPr>
              <w:rPr>
                <w:sz w:val="21"/>
                <w:szCs w:val="21"/>
              </w:rPr>
            </w:pPr>
            <w:r w:rsidDel="00000000" w:rsidR="00000000" w:rsidRPr="00000000">
              <w:rPr>
                <w:sz w:val="21"/>
                <w:szCs w:val="21"/>
                <w:rtl w:val="0"/>
              </w:rPr>
              <w:t xml:space="preserve">2.4.25</w:t>
            </w:r>
          </w:p>
        </w:tc>
        <w:tc>
          <w:tcPr>
            <w:vAlign w:val="center"/>
          </w:tcPr>
          <w:p w:rsidR="00000000" w:rsidDel="00000000" w:rsidP="00000000" w:rsidRDefault="00000000" w:rsidRPr="00000000" w14:paraId="00000031">
            <w:pPr>
              <w:rPr>
                <w:sz w:val="24"/>
                <w:szCs w:val="24"/>
              </w:rPr>
            </w:pPr>
            <w:r w:rsidDel="00000000" w:rsidR="00000000" w:rsidRPr="00000000">
              <w:rPr>
                <w:sz w:val="24"/>
                <w:szCs w:val="24"/>
                <w:rtl w:val="0"/>
              </w:rPr>
              <w:t xml:space="preserve">Mährische Realisten: Marie von Ebner Eschenbach, Ferdinand von Saar</w:t>
            </w:r>
          </w:p>
        </w:tc>
        <w:tc>
          <w:tcPr>
            <w:vAlign w:val="center"/>
          </w:tcPr>
          <w:p w:rsidR="00000000" w:rsidDel="00000000" w:rsidP="00000000" w:rsidRDefault="00000000" w:rsidRPr="00000000" w14:paraId="00000032">
            <w:pPr>
              <w:rPr>
                <w:sz w:val="21"/>
                <w:szCs w:val="21"/>
              </w:rPr>
            </w:pPr>
            <w:r w:rsidDel="00000000" w:rsidR="00000000" w:rsidRPr="00000000">
              <w:rPr>
                <w:rtl w:val="0"/>
              </w:rPr>
              <w:t xml:space="preserve">Jan Budňák</w:t>
            </w:r>
            <w:r w:rsidDel="00000000" w:rsidR="00000000" w:rsidRPr="00000000">
              <w:rPr>
                <w:rtl w:val="0"/>
              </w:rPr>
            </w:r>
          </w:p>
        </w:tc>
        <w:tc>
          <w:tcPr>
            <w:vAlign w:val="center"/>
          </w:tcPr>
          <w:p w:rsidR="00000000" w:rsidDel="00000000" w:rsidP="00000000" w:rsidRDefault="00000000" w:rsidRPr="00000000" w14:paraId="00000033">
            <w:pPr>
              <w:rPr>
                <w:sz w:val="21"/>
                <w:szCs w:val="2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4">
            <w:pPr>
              <w:rPr>
                <w:sz w:val="21"/>
                <w:szCs w:val="21"/>
              </w:rPr>
            </w:pPr>
            <w:r w:rsidDel="00000000" w:rsidR="00000000" w:rsidRPr="00000000">
              <w:rPr>
                <w:sz w:val="21"/>
                <w:szCs w:val="21"/>
                <w:rtl w:val="0"/>
              </w:rPr>
              <w:t xml:space="preserve">8.</w:t>
            </w:r>
          </w:p>
        </w:tc>
        <w:tc>
          <w:tcPr>
            <w:vAlign w:val="center"/>
          </w:tcPr>
          <w:p w:rsidR="00000000" w:rsidDel="00000000" w:rsidP="00000000" w:rsidRDefault="00000000" w:rsidRPr="00000000" w14:paraId="00000035">
            <w:pPr>
              <w:rPr>
                <w:sz w:val="21"/>
                <w:szCs w:val="21"/>
              </w:rPr>
            </w:pPr>
            <w:r w:rsidDel="00000000" w:rsidR="00000000" w:rsidRPr="00000000">
              <w:rPr>
                <w:sz w:val="21"/>
                <w:szCs w:val="21"/>
                <w:rtl w:val="0"/>
              </w:rPr>
              <w:t xml:space="preserve">9.4.25</w:t>
            </w:r>
          </w:p>
        </w:tc>
        <w:tc>
          <w:tcPr>
            <w:vAlign w:val="center"/>
          </w:tcPr>
          <w:p w:rsidR="00000000" w:rsidDel="00000000" w:rsidP="00000000" w:rsidRDefault="00000000" w:rsidRPr="00000000" w14:paraId="00000036">
            <w:pPr>
              <w:rPr>
                <w:sz w:val="24"/>
                <w:szCs w:val="24"/>
              </w:rPr>
            </w:pPr>
            <w:r w:rsidDel="00000000" w:rsidR="00000000" w:rsidRPr="00000000">
              <w:rPr>
                <w:sz w:val="24"/>
                <w:szCs w:val="24"/>
                <w:rtl w:val="0"/>
              </w:rPr>
              <w:t xml:space="preserve">Naturalistische Prosa, Jakob Julius David </w:t>
            </w:r>
          </w:p>
        </w:tc>
        <w:tc>
          <w:tcPr>
            <w:vAlign w:val="center"/>
          </w:tcPr>
          <w:p w:rsidR="00000000" w:rsidDel="00000000" w:rsidP="00000000" w:rsidRDefault="00000000" w:rsidRPr="00000000" w14:paraId="00000037">
            <w:pPr>
              <w:rPr>
                <w:sz w:val="21"/>
                <w:szCs w:val="21"/>
              </w:rPr>
            </w:pPr>
            <w:r w:rsidDel="00000000" w:rsidR="00000000" w:rsidRPr="00000000">
              <w:rPr>
                <w:sz w:val="21"/>
                <w:szCs w:val="21"/>
                <w:rtl w:val="0"/>
              </w:rPr>
              <w:t xml:space="preserve">Erkan Osmanović</w:t>
            </w:r>
          </w:p>
          <w:p w:rsidR="00000000" w:rsidDel="00000000" w:rsidP="00000000" w:rsidRDefault="00000000" w:rsidRPr="00000000" w14:paraId="00000038">
            <w:pPr>
              <w:rPr>
                <w:sz w:val="21"/>
                <w:szCs w:val="21"/>
              </w:rPr>
            </w:pPr>
            <w:r w:rsidDel="00000000" w:rsidR="00000000" w:rsidRPr="00000000">
              <w:rPr>
                <w:rtl w:val="0"/>
              </w:rPr>
              <w:t xml:space="preserve">Jan Budňák</w:t>
            </w:r>
            <w:r w:rsidDel="00000000" w:rsidR="00000000" w:rsidRPr="00000000">
              <w:rPr>
                <w:rtl w:val="0"/>
              </w:rPr>
            </w:r>
          </w:p>
        </w:tc>
        <w:tc>
          <w:tcPr>
            <w:vAlign w:val="center"/>
          </w:tcPr>
          <w:p w:rsidR="00000000" w:rsidDel="00000000" w:rsidP="00000000" w:rsidRDefault="00000000" w:rsidRPr="00000000" w14:paraId="00000039">
            <w:pPr>
              <w:rPr>
                <w:sz w:val="21"/>
                <w:szCs w:val="2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A">
            <w:pPr>
              <w:rPr>
                <w:sz w:val="21"/>
                <w:szCs w:val="21"/>
              </w:rPr>
            </w:pPr>
            <w:r w:rsidDel="00000000" w:rsidR="00000000" w:rsidRPr="00000000">
              <w:rPr>
                <w:sz w:val="21"/>
                <w:szCs w:val="21"/>
                <w:rtl w:val="0"/>
              </w:rPr>
              <w:t xml:space="preserve">9.</w:t>
            </w:r>
          </w:p>
        </w:tc>
        <w:tc>
          <w:tcPr>
            <w:vAlign w:val="center"/>
          </w:tcPr>
          <w:p w:rsidR="00000000" w:rsidDel="00000000" w:rsidP="00000000" w:rsidRDefault="00000000" w:rsidRPr="00000000" w14:paraId="0000003B">
            <w:pPr>
              <w:rPr>
                <w:sz w:val="21"/>
                <w:szCs w:val="21"/>
              </w:rPr>
            </w:pPr>
            <w:r w:rsidDel="00000000" w:rsidR="00000000" w:rsidRPr="00000000">
              <w:rPr>
                <w:sz w:val="21"/>
                <w:szCs w:val="21"/>
                <w:rtl w:val="0"/>
              </w:rPr>
              <w:t xml:space="preserve">16.4.25</w:t>
            </w:r>
          </w:p>
        </w:tc>
        <w:tc>
          <w:tcPr>
            <w:vAlign w:val="center"/>
          </w:tcPr>
          <w:p w:rsidR="00000000" w:rsidDel="00000000" w:rsidP="00000000" w:rsidRDefault="00000000" w:rsidRPr="00000000" w14:paraId="0000003C">
            <w:pPr>
              <w:rPr>
                <w:sz w:val="24"/>
                <w:szCs w:val="24"/>
              </w:rPr>
            </w:pPr>
            <w:r w:rsidDel="00000000" w:rsidR="00000000" w:rsidRPr="00000000">
              <w:rPr>
                <w:sz w:val="24"/>
                <w:szCs w:val="24"/>
                <w:rtl w:val="0"/>
              </w:rPr>
              <w:t xml:space="preserve">Gerhard Hauptmann a naturalistické drama</w:t>
            </w:r>
          </w:p>
        </w:tc>
        <w:tc>
          <w:tcPr>
            <w:vAlign w:val="center"/>
          </w:tcPr>
          <w:p w:rsidR="00000000" w:rsidDel="00000000" w:rsidP="00000000" w:rsidRDefault="00000000" w:rsidRPr="00000000" w14:paraId="0000003D">
            <w:pPr>
              <w:rPr/>
            </w:pPr>
            <w:r w:rsidDel="00000000" w:rsidR="00000000" w:rsidRPr="00000000">
              <w:rPr>
                <w:rtl w:val="0"/>
              </w:rPr>
              <w:t xml:space="preserve">Aleš Urválek</w:t>
            </w:r>
          </w:p>
        </w:tc>
        <w:tc>
          <w:tcPr>
            <w:vAlign w:val="center"/>
          </w:tcPr>
          <w:p w:rsidR="00000000" w:rsidDel="00000000" w:rsidP="00000000" w:rsidRDefault="00000000" w:rsidRPr="00000000" w14:paraId="0000003E">
            <w:pPr>
              <w:rPr>
                <w:sz w:val="21"/>
                <w:szCs w:val="2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F">
            <w:pPr>
              <w:rPr>
                <w:sz w:val="21"/>
                <w:szCs w:val="21"/>
              </w:rPr>
            </w:pPr>
            <w:r w:rsidDel="00000000" w:rsidR="00000000" w:rsidRPr="00000000">
              <w:rPr>
                <w:sz w:val="21"/>
                <w:szCs w:val="21"/>
                <w:rtl w:val="0"/>
              </w:rPr>
              <w:t xml:space="preserve">10.</w:t>
            </w:r>
          </w:p>
        </w:tc>
        <w:tc>
          <w:tcPr>
            <w:vAlign w:val="center"/>
          </w:tcPr>
          <w:p w:rsidR="00000000" w:rsidDel="00000000" w:rsidP="00000000" w:rsidRDefault="00000000" w:rsidRPr="00000000" w14:paraId="00000040">
            <w:pPr>
              <w:rPr>
                <w:sz w:val="21"/>
                <w:szCs w:val="21"/>
              </w:rPr>
            </w:pPr>
            <w:r w:rsidDel="00000000" w:rsidR="00000000" w:rsidRPr="00000000">
              <w:rPr>
                <w:sz w:val="21"/>
                <w:szCs w:val="21"/>
                <w:rtl w:val="0"/>
              </w:rPr>
              <w:t xml:space="preserve">30.4.25</w:t>
            </w:r>
          </w:p>
        </w:tc>
        <w:tc>
          <w:tcPr>
            <w:vAlign w:val="center"/>
          </w:tcPr>
          <w:p w:rsidR="00000000" w:rsidDel="00000000" w:rsidP="00000000" w:rsidRDefault="00000000" w:rsidRPr="00000000" w14:paraId="00000041">
            <w:pPr>
              <w:rPr>
                <w:sz w:val="24"/>
                <w:szCs w:val="24"/>
              </w:rPr>
            </w:pPr>
            <w:r w:rsidDel="00000000" w:rsidR="00000000" w:rsidRPr="00000000">
              <w:rPr>
                <w:sz w:val="24"/>
                <w:szCs w:val="24"/>
                <w:rtl w:val="0"/>
              </w:rPr>
              <w:t xml:space="preserve">Frank Wedekind, Stefan George, Hugo von Hoffmansthal</w:t>
            </w:r>
          </w:p>
        </w:tc>
        <w:tc>
          <w:tcPr>
            <w:vAlign w:val="center"/>
          </w:tcPr>
          <w:p w:rsidR="00000000" w:rsidDel="00000000" w:rsidP="00000000" w:rsidRDefault="00000000" w:rsidRPr="00000000" w14:paraId="00000042">
            <w:pPr>
              <w:rPr/>
            </w:pPr>
            <w:r w:rsidDel="00000000" w:rsidR="00000000" w:rsidRPr="00000000">
              <w:rPr>
                <w:rtl w:val="0"/>
              </w:rPr>
              <w:t xml:space="preserve">Aleš Urválek</w:t>
            </w:r>
          </w:p>
        </w:tc>
        <w:tc>
          <w:tcPr>
            <w:vAlign w:val="center"/>
          </w:tcPr>
          <w:p w:rsidR="00000000" w:rsidDel="00000000" w:rsidP="00000000" w:rsidRDefault="00000000" w:rsidRPr="00000000" w14:paraId="00000043">
            <w:pPr>
              <w:rPr>
                <w:sz w:val="21"/>
                <w:szCs w:val="2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4">
            <w:pPr>
              <w:rPr>
                <w:sz w:val="21"/>
                <w:szCs w:val="21"/>
              </w:rPr>
            </w:pPr>
            <w:r w:rsidDel="00000000" w:rsidR="00000000" w:rsidRPr="00000000">
              <w:rPr>
                <w:sz w:val="21"/>
                <w:szCs w:val="21"/>
                <w:rtl w:val="0"/>
              </w:rPr>
              <w:t xml:space="preserve">11.</w:t>
            </w:r>
          </w:p>
        </w:tc>
        <w:tc>
          <w:tcPr>
            <w:vAlign w:val="center"/>
          </w:tcPr>
          <w:p w:rsidR="00000000" w:rsidDel="00000000" w:rsidP="00000000" w:rsidRDefault="00000000" w:rsidRPr="00000000" w14:paraId="00000045">
            <w:pPr>
              <w:rPr>
                <w:sz w:val="21"/>
                <w:szCs w:val="21"/>
              </w:rPr>
            </w:pPr>
            <w:r w:rsidDel="00000000" w:rsidR="00000000" w:rsidRPr="00000000">
              <w:rPr>
                <w:sz w:val="21"/>
                <w:szCs w:val="21"/>
                <w:rtl w:val="0"/>
              </w:rPr>
              <w:t xml:space="preserve">7.5.25</w:t>
            </w:r>
          </w:p>
        </w:tc>
        <w:tc>
          <w:tcPr>
            <w:vAlign w:val="center"/>
          </w:tcPr>
          <w:p w:rsidR="00000000" w:rsidDel="00000000" w:rsidP="00000000" w:rsidRDefault="00000000" w:rsidRPr="00000000" w14:paraId="00000046">
            <w:pPr>
              <w:rPr>
                <w:sz w:val="24"/>
                <w:szCs w:val="24"/>
              </w:rPr>
            </w:pPr>
            <w:r w:rsidDel="00000000" w:rsidR="00000000" w:rsidRPr="00000000">
              <w:rPr>
                <w:sz w:val="24"/>
                <w:szCs w:val="24"/>
                <w:rtl w:val="0"/>
              </w:rPr>
              <w:t xml:space="preserve">Karl Kraus + Jung-Wien</w:t>
            </w:r>
          </w:p>
        </w:tc>
        <w:tc>
          <w:tcPr>
            <w:vAlign w:val="center"/>
          </w:tcPr>
          <w:p w:rsidR="00000000" w:rsidDel="00000000" w:rsidP="00000000" w:rsidRDefault="00000000" w:rsidRPr="00000000" w14:paraId="00000047">
            <w:pPr>
              <w:rPr/>
            </w:pPr>
            <w:r w:rsidDel="00000000" w:rsidR="00000000" w:rsidRPr="00000000">
              <w:rPr>
                <w:rtl w:val="0"/>
              </w:rPr>
              <w:t xml:space="preserve">Zdeněk Mareček </w:t>
            </w:r>
          </w:p>
        </w:tc>
        <w:tc>
          <w:tcPr>
            <w:vAlign w:val="center"/>
          </w:tcPr>
          <w:p w:rsidR="00000000" w:rsidDel="00000000" w:rsidP="00000000" w:rsidRDefault="00000000" w:rsidRPr="00000000" w14:paraId="00000048">
            <w:pPr>
              <w:rPr>
                <w:sz w:val="21"/>
                <w:szCs w:val="2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9">
            <w:pPr>
              <w:rPr>
                <w:sz w:val="21"/>
                <w:szCs w:val="21"/>
              </w:rPr>
            </w:pPr>
            <w:r w:rsidDel="00000000" w:rsidR="00000000" w:rsidRPr="00000000">
              <w:rPr>
                <w:sz w:val="21"/>
                <w:szCs w:val="21"/>
                <w:rtl w:val="0"/>
              </w:rPr>
              <w:t xml:space="preserve">12.</w:t>
            </w:r>
          </w:p>
        </w:tc>
        <w:tc>
          <w:tcPr>
            <w:vAlign w:val="center"/>
          </w:tcPr>
          <w:p w:rsidR="00000000" w:rsidDel="00000000" w:rsidP="00000000" w:rsidRDefault="00000000" w:rsidRPr="00000000" w14:paraId="0000004A">
            <w:pPr>
              <w:rPr>
                <w:sz w:val="21"/>
                <w:szCs w:val="21"/>
              </w:rPr>
            </w:pPr>
            <w:r w:rsidDel="00000000" w:rsidR="00000000" w:rsidRPr="00000000">
              <w:rPr>
                <w:sz w:val="21"/>
                <w:szCs w:val="21"/>
                <w:rtl w:val="0"/>
              </w:rPr>
              <w:t xml:space="preserve">21.5.25</w:t>
            </w:r>
          </w:p>
        </w:tc>
        <w:tc>
          <w:tcPr>
            <w:vAlign w:val="center"/>
          </w:tcPr>
          <w:p w:rsidR="00000000" w:rsidDel="00000000" w:rsidP="00000000" w:rsidRDefault="00000000" w:rsidRPr="00000000" w14:paraId="0000004B">
            <w:pPr>
              <w:rPr>
                <w:sz w:val="24"/>
                <w:szCs w:val="24"/>
              </w:rPr>
            </w:pPr>
            <w:r w:rsidDel="00000000" w:rsidR="00000000" w:rsidRPr="00000000">
              <w:rPr>
                <w:sz w:val="24"/>
                <w:szCs w:val="24"/>
                <w:rtl w:val="0"/>
              </w:rPr>
              <w:t xml:space="preserve">Rainer Maria Rilke</w:t>
            </w:r>
          </w:p>
        </w:tc>
        <w:tc>
          <w:tcPr>
            <w:vAlign w:val="center"/>
          </w:tcPr>
          <w:p w:rsidR="00000000" w:rsidDel="00000000" w:rsidP="00000000" w:rsidRDefault="00000000" w:rsidRPr="00000000" w14:paraId="0000004C">
            <w:pPr>
              <w:rPr/>
            </w:pPr>
            <w:r w:rsidDel="00000000" w:rsidR="00000000" w:rsidRPr="00000000">
              <w:rPr>
                <w:sz w:val="21"/>
                <w:szCs w:val="21"/>
                <w:rtl w:val="0"/>
              </w:rPr>
              <w:t xml:space="preserve">Sylvie Stanovská</w:t>
            </w:r>
            <w:r w:rsidDel="00000000" w:rsidR="00000000" w:rsidRPr="00000000">
              <w:rPr>
                <w:rtl w:val="0"/>
              </w:rPr>
            </w:r>
          </w:p>
        </w:tc>
        <w:tc>
          <w:tcPr>
            <w:vAlign w:val="center"/>
          </w:tcPr>
          <w:p w:rsidR="00000000" w:rsidDel="00000000" w:rsidP="00000000" w:rsidRDefault="00000000" w:rsidRPr="00000000" w14:paraId="0000004D">
            <w:pPr>
              <w:rPr>
                <w:sz w:val="21"/>
                <w:szCs w:val="21"/>
              </w:rPr>
            </w:pPr>
            <w:r w:rsidDel="00000000" w:rsidR="00000000" w:rsidRPr="00000000">
              <w:rPr>
                <w:rtl w:val="0"/>
              </w:rPr>
            </w:r>
          </w:p>
        </w:tc>
      </w:tr>
    </w:tbl>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numPr>
          <w:ilvl w:val="0"/>
          <w:numId w:val="3"/>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ZAKONČENÍ PŘEDMĚTU</w:t>
      </w:r>
    </w:p>
    <w:p w:rsidR="00000000" w:rsidDel="00000000" w:rsidP="00000000" w:rsidRDefault="00000000" w:rsidRPr="00000000" w14:paraId="00000050">
      <w:pPr>
        <w:rPr/>
      </w:pPr>
      <w:r w:rsidDel="00000000" w:rsidR="00000000" w:rsidRPr="00000000">
        <w:rPr>
          <w:rtl w:val="0"/>
        </w:rPr>
        <w:t xml:space="preserve">3 kredity, zápočet</w:t>
      </w:r>
    </w:p>
    <w:p w:rsidR="00000000" w:rsidDel="00000000" w:rsidP="00000000" w:rsidRDefault="00000000" w:rsidRPr="00000000" w14:paraId="00000051">
      <w:pPr>
        <w:rPr/>
      </w:pPr>
      <w:r w:rsidDel="00000000" w:rsidR="00000000" w:rsidRPr="00000000">
        <w:rPr>
          <w:rtl w:val="0"/>
        </w:rPr>
        <w:t xml:space="preserve">Zakončení předmětu NJI_14A bude mít celkem 2 části:</w:t>
      </w:r>
    </w:p>
    <w:p w:rsidR="00000000" w:rsidDel="00000000" w:rsidP="00000000" w:rsidRDefault="00000000" w:rsidRPr="00000000" w14:paraId="00000052">
      <w:pPr>
        <w:numPr>
          <w:ilvl w:val="0"/>
          <w:numId w:val="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Ústní kolokvium (v malých skupinách).</w:t>
      </w:r>
    </w:p>
    <w:p w:rsidR="00000000" w:rsidDel="00000000" w:rsidP="00000000" w:rsidRDefault="00000000" w:rsidRPr="00000000" w14:paraId="00000053">
      <w:pPr>
        <w:numPr>
          <w:ilvl w:val="0"/>
          <w:numId w:val="2"/>
        </w:numPr>
        <w:pBdr>
          <w:top w:space="0" w:sz="0" w:val="nil"/>
          <w:left w:space="0" w:sz="0" w:val="nil"/>
          <w:bottom w:space="0" w:sz="0" w:val="nil"/>
          <w:right w:space="0" w:sz="0" w:val="nil"/>
          <w:between w:space="0" w:sz="0" w:val="nil"/>
        </w:pBdr>
        <w:ind w:left="720" w:hanging="360"/>
        <w:rPr>
          <w:color w:val="00b050"/>
          <w:u w:val="single"/>
        </w:rPr>
      </w:pPr>
      <w:r w:rsidDel="00000000" w:rsidR="00000000" w:rsidRPr="00000000">
        <w:rPr>
          <w:color w:val="000000"/>
          <w:rtl w:val="0"/>
        </w:rPr>
        <w:t xml:space="preserve">Písemná práce, deadline: </w:t>
      </w:r>
      <w:r w:rsidDel="00000000" w:rsidR="00000000" w:rsidRPr="00000000">
        <w:rPr>
          <w:color w:val="70ad47"/>
          <w:rtl w:val="0"/>
        </w:rPr>
        <w:t xml:space="preserve">9.6.2025</w:t>
      </w:r>
      <w:r w:rsidDel="00000000" w:rsidR="00000000" w:rsidRPr="00000000">
        <w:rPr>
          <w:color w:val="000000"/>
          <w:rtl w:val="0"/>
        </w:rPr>
        <w:br w:type="textWrapping"/>
      </w:r>
      <w:r w:rsidDel="00000000" w:rsidR="00000000" w:rsidRPr="00000000">
        <w:rPr>
          <w:color w:val="000000"/>
          <w:sz w:val="21"/>
          <w:szCs w:val="21"/>
          <w:u w:val="single"/>
          <w:rtl w:val="0"/>
        </w:rPr>
        <w:t xml:space="preserve">Prosíme o zaslání e-mailu o vložení seminární práce do Odevzdávárny předmětu, nebo o zaslání textu přímo na mail.</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 Co přesně budou jednotlivé části obnášet?</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ÚSTNÍ KOLOKVIUM</w:t>
      </w:r>
    </w:p>
    <w:p w:rsidR="00000000" w:rsidDel="00000000" w:rsidP="00000000" w:rsidRDefault="00000000" w:rsidRPr="00000000" w14:paraId="00000058">
      <w:pPr>
        <w:rPr/>
      </w:pPr>
      <w:r w:rsidDel="00000000" w:rsidR="00000000" w:rsidRPr="00000000">
        <w:rPr>
          <w:rtl w:val="0"/>
        </w:rPr>
        <w:t xml:space="preserve">Cílem ústního kolokvia je prověření Vašich nově získaných znalostí o německé literatuře 19. a začínajícího 20. století (od doby předbřeznové přes realismus, naturalismus až po reakce na naturalismus). Je to i taková předpříprava pro ústní státní zkoušku, při níž se s takovýmto typem otázek můžete setkat. </w:t>
      </w:r>
    </w:p>
    <w:p w:rsidR="00000000" w:rsidDel="00000000" w:rsidP="00000000" w:rsidRDefault="00000000" w:rsidRPr="00000000" w14:paraId="00000059">
      <w:pPr>
        <w:rPr/>
      </w:pPr>
      <w:r w:rsidDel="00000000" w:rsidR="00000000" w:rsidRPr="00000000">
        <w:rPr>
          <w:rtl w:val="0"/>
        </w:rPr>
        <w:t xml:space="preserve">Kolokvium bude shrnovat znalosti faktů a souvislostí principiálně ze tří zdrojů:</w:t>
      </w:r>
    </w:p>
    <w:p w:rsidR="00000000" w:rsidDel="00000000" w:rsidP="00000000" w:rsidRDefault="00000000" w:rsidRPr="00000000" w14:paraId="0000005A">
      <w:pPr>
        <w:numPr>
          <w:ilvl w:val="0"/>
          <w:numId w:val="7"/>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Přednášky vyučujících proslovené během semestru,</w:t>
      </w:r>
    </w:p>
    <w:p w:rsidR="00000000" w:rsidDel="00000000" w:rsidP="00000000" w:rsidRDefault="00000000" w:rsidRPr="00000000" w14:paraId="0000005B">
      <w:pPr>
        <w:numPr>
          <w:ilvl w:val="0"/>
          <w:numId w:val="7"/>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Četba primárních (literárních) textů zadaná na přednášky,</w:t>
      </w:r>
    </w:p>
    <w:p w:rsidR="00000000" w:rsidDel="00000000" w:rsidP="00000000" w:rsidRDefault="00000000" w:rsidRPr="00000000" w14:paraId="0000005C">
      <w:pPr>
        <w:numPr>
          <w:ilvl w:val="0"/>
          <w:numId w:val="7"/>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Jeden literárněhistorický text ke každému autorovi v rozsahu do 20 stran, který určí přednášející a dá ho studentům k dispozici (v ISu). </w:t>
      </w:r>
    </w:p>
    <w:p w:rsidR="00000000" w:rsidDel="00000000" w:rsidP="00000000" w:rsidRDefault="00000000" w:rsidRPr="00000000" w14:paraId="0000005D">
      <w:pPr>
        <w:rPr/>
      </w:pPr>
      <w:r w:rsidDel="00000000" w:rsidR="00000000" w:rsidRPr="00000000">
        <w:rPr>
          <w:rtl w:val="0"/>
        </w:rPr>
        <w:t xml:space="preserve">“Prüfungsrelevant” jsou tedy ke každé přednášce tři zdroje, typicky prezentace (ppt), primární text a literárněhistorický text.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PÍSEMNÁ PRÁCE</w:t>
      </w:r>
    </w:p>
    <w:p w:rsidR="00000000" w:rsidDel="00000000" w:rsidP="00000000" w:rsidRDefault="00000000" w:rsidRPr="00000000" w14:paraId="00000060">
      <w:pPr>
        <w:rPr/>
      </w:pPr>
      <w:r w:rsidDel="00000000" w:rsidR="00000000" w:rsidRPr="00000000">
        <w:rPr>
          <w:rtl w:val="0"/>
        </w:rPr>
        <w:t xml:space="preserve">Cílem písemné práce je rozvoj vlastního přemýšlení v oblasti literárních dějin na podněty z přednášek a sekundární literatury. Nejedná se zde o literárněhistorický přehled jako v případě kolokvia, nýbrž spíše o detailnější analýzu vybraného tématu a jeho podoby v literárních textech, které určí vyučující předmětu. </w:t>
      </w:r>
    </w:p>
    <w:p w:rsidR="00000000" w:rsidDel="00000000" w:rsidP="00000000" w:rsidRDefault="00000000" w:rsidRPr="00000000" w14:paraId="00000061">
      <w:pPr>
        <w:rPr/>
      </w:pPr>
      <w:r w:rsidDel="00000000" w:rsidR="00000000" w:rsidRPr="00000000">
        <w:rPr>
          <w:rtl w:val="0"/>
        </w:rPr>
        <w:t xml:space="preserve">Témata, ke kterým je třeba se přihlásit v ISu, se budou týkat probírané látky, tedy německé literatury od doby předbřeznové po reakce na naturalismus, a budou zveřejněna v ISu. Do seznamu širších okruhů se lze přihlásit obratem, </w:t>
      </w:r>
      <w:r w:rsidDel="00000000" w:rsidR="00000000" w:rsidRPr="00000000">
        <w:rPr>
          <w:u w:val="single"/>
          <w:rtl w:val="0"/>
        </w:rPr>
        <w:t xml:space="preserve">konkretizace jednotlivých témat proběhne vždy po termínu dané přednášky</w:t>
      </w:r>
      <w:r w:rsidDel="00000000" w:rsidR="00000000" w:rsidRPr="00000000">
        <w:rPr>
          <w:rtl w:val="0"/>
        </w:rPr>
        <w:t xml:space="preserve">. Budete si moci zvolit jedno z 8 témat. U každého tématu bude omezená kapacita přihlašujících se: cca. 2 studující/téma.</w:t>
      </w:r>
    </w:p>
    <w:p w:rsidR="00000000" w:rsidDel="00000000" w:rsidP="00000000" w:rsidRDefault="00000000" w:rsidRPr="00000000" w14:paraId="00000062">
      <w:pPr>
        <w:rPr/>
      </w:pPr>
      <w:r w:rsidDel="00000000" w:rsidR="00000000" w:rsidRPr="00000000">
        <w:rPr>
          <w:rtl w:val="0"/>
        </w:rPr>
        <w:t xml:space="preserve">Písemná práce má argumentativní stavbu, formuluje tedy zřetelně rozpoznatelnou tezi ke svému tématu a následně tuto tezi na textu samotném dokládá. Teze by měla vyplývat z impulzů z přednášek a především ze sekundární literatury. Práce se sekundární literaturou je pro tuto písemnou práci nezbytná a řídí se i formálně zásadami akademického psaní (včetně standardní citační normy jako je třeba tato: </w:t>
      </w:r>
      <w:hyperlink r:id="rId7">
        <w:r w:rsidDel="00000000" w:rsidR="00000000" w:rsidRPr="00000000">
          <w:rPr>
            <w:color w:val="0563c1"/>
            <w:u w:val="single"/>
            <w:rtl w:val="0"/>
          </w:rPr>
          <w:t xml:space="preserve">https://bruecken.ff.cuni.cz/wp-content/uploads/sites/56/2020/11/Stylesheet-Brucken-2020-2.pdf</w:t>
        </w:r>
      </w:hyperlink>
      <w:r w:rsidDel="00000000" w:rsidR="00000000" w:rsidRPr="00000000">
        <w:rPr>
          <w:rtl w:val="0"/>
        </w:rPr>
        <w:t xml:space="preserve">) </w:t>
      </w:r>
    </w:p>
    <w:p w:rsidR="00000000" w:rsidDel="00000000" w:rsidP="00000000" w:rsidRDefault="00000000" w:rsidRPr="00000000" w14:paraId="00000063">
      <w:pPr>
        <w:rPr/>
      </w:pPr>
      <w:r w:rsidDel="00000000" w:rsidR="00000000" w:rsidRPr="00000000">
        <w:rPr>
          <w:rtl w:val="0"/>
        </w:rPr>
        <w:t xml:space="preserve">Jedná se o následující okruhy (totožné s vybranými tituly přednášek):</w:t>
      </w:r>
    </w:p>
    <w:tbl>
      <w:tblPr>
        <w:tblStyle w:val="Table2"/>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620"/>
        <w:gridCol w:w="4395"/>
        <w:tblGridChange w:id="0">
          <w:tblGrid>
            <w:gridCol w:w="4620"/>
            <w:gridCol w:w="4395"/>
          </w:tblGrid>
        </w:tblGridChange>
      </w:tblGrid>
      <w:tr>
        <w:trPr>
          <w:cantSplit w:val="0"/>
          <w:tblHeader w:val="0"/>
        </w:trPr>
        <w:tc>
          <w:tcPr>
            <w:vAlign w:val="center"/>
          </w:tcPr>
          <w:p w:rsidR="00000000" w:rsidDel="00000000" w:rsidP="00000000" w:rsidRDefault="00000000" w:rsidRPr="00000000" w14:paraId="00000064">
            <w:pPr>
              <w:numPr>
                <w:ilvl w:val="0"/>
                <w:numId w:val="8"/>
              </w:numPr>
              <w:pBdr>
                <w:top w:space="0" w:sz="0" w:val="nil"/>
                <w:left w:space="0" w:sz="0" w:val="nil"/>
                <w:bottom w:space="0" w:sz="0" w:val="nil"/>
                <w:right w:space="0" w:sz="0" w:val="nil"/>
                <w:between w:space="0" w:sz="0" w:val="nil"/>
              </w:pBdr>
              <w:ind w:left="720" w:hanging="360"/>
              <w:rPr>
                <w:color w:val="ed7d31"/>
                <w:sz w:val="24"/>
                <w:szCs w:val="24"/>
              </w:rPr>
            </w:pPr>
            <w:r w:rsidDel="00000000" w:rsidR="00000000" w:rsidRPr="00000000">
              <w:rPr>
                <w:color w:val="ed7d31"/>
                <w:sz w:val="24"/>
                <w:szCs w:val="24"/>
                <w:rtl w:val="0"/>
              </w:rPr>
              <w:t xml:space="preserve">Politisches Schreiben im Vormärz: Heine und die Autoren des Jungen Deutschlands</w:t>
            </w:r>
          </w:p>
        </w:tc>
        <w:tc>
          <w:tcPr>
            <w:vAlign w:val="center"/>
          </w:tcPr>
          <w:p w:rsidR="00000000" w:rsidDel="00000000" w:rsidP="00000000" w:rsidRDefault="00000000" w:rsidRPr="00000000" w14:paraId="00000065">
            <w:pPr>
              <w:rPr>
                <w:rFonts w:ascii="Open Sans" w:cs="Open Sans" w:eastAsia="Open Sans" w:hAnsi="Open Sans"/>
                <w:color w:val="ed7d31"/>
                <w:sz w:val="19"/>
                <w:szCs w:val="19"/>
              </w:rPr>
            </w:pPr>
            <w:r w:rsidDel="00000000" w:rsidR="00000000" w:rsidRPr="00000000">
              <w:rPr>
                <w:rFonts w:ascii="Open Sans" w:cs="Open Sans" w:eastAsia="Open Sans" w:hAnsi="Open Sans"/>
                <w:i w:val="1"/>
                <w:color w:val="ed7d31"/>
                <w:sz w:val="19"/>
                <w:szCs w:val="19"/>
                <w:rtl w:val="0"/>
              </w:rPr>
              <w:t xml:space="preserve">Vede:</w:t>
            </w:r>
            <w:r w:rsidDel="00000000" w:rsidR="00000000" w:rsidRPr="00000000">
              <w:rPr>
                <w:rFonts w:ascii="Open Sans" w:cs="Open Sans" w:eastAsia="Open Sans" w:hAnsi="Open Sans"/>
                <w:color w:val="ed7d31"/>
                <w:sz w:val="19"/>
                <w:szCs w:val="19"/>
                <w:rtl w:val="0"/>
              </w:rPr>
              <w:t xml:space="preserve"> Mgr. Jan Budňák, Ph.D.</w:t>
            </w:r>
          </w:p>
          <w:p w:rsidR="00000000" w:rsidDel="00000000" w:rsidP="00000000" w:rsidRDefault="00000000" w:rsidRPr="00000000" w14:paraId="00000066">
            <w:pPr>
              <w:rPr>
                <w:rFonts w:ascii="Open Sans" w:cs="Open Sans" w:eastAsia="Open Sans" w:hAnsi="Open Sans"/>
                <w:color w:val="0a0a0a"/>
                <w:sz w:val="19"/>
                <w:szCs w:val="19"/>
              </w:rPr>
            </w:pPr>
            <w:r w:rsidDel="00000000" w:rsidR="00000000" w:rsidRPr="00000000">
              <w:rPr>
                <w:rFonts w:ascii="Open Sans" w:cs="Open Sans" w:eastAsia="Open Sans" w:hAnsi="Open Sans"/>
                <w:color w:val="0a0a0a"/>
                <w:sz w:val="19"/>
                <w:szCs w:val="19"/>
                <w:rtl w:val="0"/>
              </w:rPr>
              <w:t xml:space="preserve">Ziel des Essays ist, die Eigenart von Heines politischem Schreiben durch eine vergleichende Analyse mit einem ausgewählten Text des “Jungen Deutschlands” zu charakterisieren. Von Heine kommen in Frage: Atta Troll, Deutschland. Ein Wintermärchen, Ludwig Börne. Eine Denkschrift, ausgewählte Gedichte. Sekundärliteratur: Gerhard Höhn: Heine-Handbuch, Peter Sprengel: Geschichte der deutschen Literatur 1830-1870 usf.</w:t>
            </w:r>
          </w:p>
        </w:tc>
      </w:tr>
      <w:tr>
        <w:trPr>
          <w:cantSplit w:val="0"/>
          <w:tblHeader w:val="0"/>
        </w:trPr>
        <w:tc>
          <w:tcPr>
            <w:vAlign w:val="center"/>
          </w:tcPr>
          <w:p w:rsidR="00000000" w:rsidDel="00000000" w:rsidP="00000000" w:rsidRDefault="00000000" w:rsidRPr="00000000" w14:paraId="00000067">
            <w:pPr>
              <w:numPr>
                <w:ilvl w:val="0"/>
                <w:numId w:val="8"/>
              </w:numPr>
              <w:pBdr>
                <w:top w:space="0" w:sz="0" w:val="nil"/>
                <w:left w:space="0" w:sz="0" w:val="nil"/>
                <w:bottom w:space="0" w:sz="0" w:val="nil"/>
                <w:right w:space="0" w:sz="0" w:val="nil"/>
                <w:between w:space="0" w:sz="0" w:val="nil"/>
              </w:pBdr>
              <w:ind w:left="720" w:hanging="360"/>
              <w:rPr>
                <w:color w:val="ed7d31"/>
                <w:sz w:val="24"/>
                <w:szCs w:val="24"/>
              </w:rPr>
            </w:pPr>
            <w:r w:rsidDel="00000000" w:rsidR="00000000" w:rsidRPr="00000000">
              <w:rPr>
                <w:color w:val="ed7d31"/>
                <w:sz w:val="24"/>
                <w:szCs w:val="24"/>
                <w:rtl w:val="0"/>
              </w:rPr>
              <w:t xml:space="preserve">Analyse von Figuren und Revolutionskonzepten in Dantons Tod</w:t>
            </w:r>
          </w:p>
        </w:tc>
        <w:tc>
          <w:tcPr>
            <w:vAlign w:val="center"/>
          </w:tcPr>
          <w:p w:rsidR="00000000" w:rsidDel="00000000" w:rsidP="00000000" w:rsidRDefault="00000000" w:rsidRPr="00000000" w14:paraId="00000068">
            <w:pPr>
              <w:rPr>
                <w:rFonts w:ascii="Open Sans" w:cs="Open Sans" w:eastAsia="Open Sans" w:hAnsi="Open Sans"/>
                <w:color w:val="ed7d31"/>
                <w:sz w:val="19"/>
                <w:szCs w:val="19"/>
              </w:rPr>
            </w:pPr>
            <w:r w:rsidDel="00000000" w:rsidR="00000000" w:rsidRPr="00000000">
              <w:rPr>
                <w:rFonts w:ascii="Open Sans" w:cs="Open Sans" w:eastAsia="Open Sans" w:hAnsi="Open Sans"/>
                <w:i w:val="1"/>
                <w:color w:val="ed7d31"/>
                <w:sz w:val="19"/>
                <w:szCs w:val="19"/>
                <w:rtl w:val="0"/>
              </w:rPr>
              <w:t xml:space="preserve">Vede:</w:t>
            </w:r>
            <w:r w:rsidDel="00000000" w:rsidR="00000000" w:rsidRPr="00000000">
              <w:rPr>
                <w:rFonts w:ascii="Open Sans" w:cs="Open Sans" w:eastAsia="Open Sans" w:hAnsi="Open Sans"/>
                <w:color w:val="ed7d31"/>
                <w:sz w:val="19"/>
                <w:szCs w:val="19"/>
                <w:rtl w:val="0"/>
              </w:rPr>
              <w:t xml:space="preserve"> Mgr. Jan Budňák, Ph.D.</w:t>
            </w:r>
          </w:p>
          <w:p w:rsidR="00000000" w:rsidDel="00000000" w:rsidP="00000000" w:rsidRDefault="00000000" w:rsidRPr="00000000" w14:paraId="00000069">
            <w:pPr>
              <w:rPr>
                <w:rFonts w:ascii="Open Sans" w:cs="Open Sans" w:eastAsia="Open Sans" w:hAnsi="Open Sans"/>
                <w:color w:val="0a0a0a"/>
                <w:sz w:val="19"/>
                <w:szCs w:val="19"/>
              </w:rPr>
            </w:pPr>
            <w:r w:rsidDel="00000000" w:rsidR="00000000" w:rsidRPr="00000000">
              <w:rPr>
                <w:rFonts w:ascii="Open Sans" w:cs="Open Sans" w:eastAsia="Open Sans" w:hAnsi="Open Sans"/>
                <w:color w:val="0a0a0a"/>
                <w:sz w:val="19"/>
                <w:szCs w:val="19"/>
                <w:rtl w:val="0"/>
              </w:rPr>
              <w:t xml:space="preserve">Danton und Robespierre sind zwei zentrale Antagonisten des Dramas, aber wie genau ist es um ihre Vorstellung von Revolution, Gewalt und ihrer Berechtigung, des Menschen generell beschaffen?</w:t>
            </w:r>
          </w:p>
          <w:p w:rsidR="00000000" w:rsidDel="00000000" w:rsidP="00000000" w:rsidRDefault="00000000" w:rsidRPr="00000000" w14:paraId="0000006A">
            <w:pPr>
              <w:rPr>
                <w:rFonts w:ascii="Open Sans" w:cs="Open Sans" w:eastAsia="Open Sans" w:hAnsi="Open Sans"/>
                <w:sz w:val="19"/>
                <w:szCs w:val="19"/>
              </w:rPr>
            </w:pPr>
            <w:r w:rsidDel="00000000" w:rsidR="00000000" w:rsidRPr="00000000">
              <w:rPr>
                <w:rFonts w:ascii="Open Sans" w:cs="Open Sans" w:eastAsia="Open Sans" w:hAnsi="Open Sans"/>
                <w:color w:val="0a0a0a"/>
                <w:sz w:val="19"/>
                <w:szCs w:val="19"/>
                <w:rtl w:val="0"/>
              </w:rPr>
              <w:t xml:space="preserve">Quellen sind zunächst in Studijní materiály zu finden - bitte Argumentation und Quellen zunächst mit mir besprechen (d.h. bevor Sie zu schreiben beginnen). Generell: Borgards/Neumeyer: Büchner-Handbuch.</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B">
            <w:pPr>
              <w:numPr>
                <w:ilvl w:val="0"/>
                <w:numId w:val="8"/>
              </w:numPr>
              <w:pBdr>
                <w:top w:space="0" w:sz="0" w:val="nil"/>
                <w:left w:space="0" w:sz="0" w:val="nil"/>
                <w:bottom w:space="0" w:sz="0" w:val="nil"/>
                <w:right w:space="0" w:sz="0" w:val="nil"/>
                <w:between w:space="0" w:sz="0" w:val="nil"/>
              </w:pBdr>
              <w:ind w:left="720" w:hanging="360"/>
              <w:rPr>
                <w:color w:val="ed7d31"/>
                <w:sz w:val="24"/>
                <w:szCs w:val="24"/>
              </w:rPr>
            </w:pPr>
            <w:r w:rsidDel="00000000" w:rsidR="00000000" w:rsidRPr="00000000">
              <w:rPr>
                <w:color w:val="ed7d31"/>
                <w:sz w:val="24"/>
                <w:szCs w:val="24"/>
                <w:rtl w:val="0"/>
              </w:rPr>
              <w:t xml:space="preserve">Franz Grillparzers Stück </w:t>
            </w:r>
            <w:r w:rsidDel="00000000" w:rsidR="00000000" w:rsidRPr="00000000">
              <w:rPr>
                <w:i w:val="1"/>
                <w:color w:val="ed7d31"/>
                <w:sz w:val="24"/>
                <w:szCs w:val="24"/>
                <w:rtl w:val="0"/>
              </w:rPr>
              <w:t xml:space="preserve">König Ottokars Glück und Ende </w:t>
            </w:r>
            <w:r w:rsidDel="00000000" w:rsidR="00000000" w:rsidRPr="00000000">
              <w:rPr>
                <w:color w:val="ed7d31"/>
                <w:sz w:val="24"/>
                <w:szCs w:val="24"/>
                <w:rtl w:val="0"/>
              </w:rPr>
              <w:t xml:space="preserve">als Projektionsfläche für politische Lesarten des Stückes</w:t>
            </w:r>
          </w:p>
        </w:tc>
        <w:tc>
          <w:tcPr>
            <w:vAlign w:val="center"/>
          </w:tcPr>
          <w:p w:rsidR="00000000" w:rsidDel="00000000" w:rsidP="00000000" w:rsidRDefault="00000000" w:rsidRPr="00000000" w14:paraId="0000006C">
            <w:pPr>
              <w:rPr>
                <w:rFonts w:ascii="Open Sans" w:cs="Open Sans" w:eastAsia="Open Sans" w:hAnsi="Open Sans"/>
                <w:color w:val="ed7d31"/>
                <w:sz w:val="19"/>
                <w:szCs w:val="19"/>
              </w:rPr>
            </w:pPr>
            <w:r w:rsidDel="00000000" w:rsidR="00000000" w:rsidRPr="00000000">
              <w:rPr>
                <w:rFonts w:ascii="Open Sans" w:cs="Open Sans" w:eastAsia="Open Sans" w:hAnsi="Open Sans"/>
                <w:i w:val="1"/>
                <w:color w:val="ed7d31"/>
                <w:sz w:val="19"/>
                <w:szCs w:val="19"/>
                <w:rtl w:val="0"/>
              </w:rPr>
              <w:t xml:space="preserve">Vede:</w:t>
            </w:r>
            <w:r w:rsidDel="00000000" w:rsidR="00000000" w:rsidRPr="00000000">
              <w:rPr>
                <w:rFonts w:ascii="Open Sans" w:cs="Open Sans" w:eastAsia="Open Sans" w:hAnsi="Open Sans"/>
                <w:color w:val="ed7d31"/>
                <w:sz w:val="19"/>
                <w:szCs w:val="19"/>
                <w:rtl w:val="0"/>
              </w:rPr>
              <w:t xml:space="preserve"> PhDr. Zdeněk Mareček, Ph.D.</w:t>
            </w:r>
          </w:p>
          <w:p w:rsidR="00000000" w:rsidDel="00000000" w:rsidP="00000000" w:rsidRDefault="00000000" w:rsidRPr="00000000" w14:paraId="0000006D">
            <w:pPr>
              <w:rPr>
                <w:rFonts w:ascii="Open Sans" w:cs="Open Sans" w:eastAsia="Open Sans" w:hAnsi="Open Sans"/>
                <w:color w:val="ed7d31"/>
                <w:sz w:val="19"/>
                <w:szCs w:val="19"/>
              </w:rPr>
            </w:pPr>
            <w:r w:rsidDel="00000000" w:rsidR="00000000" w:rsidRPr="00000000">
              <w:rPr>
                <w:rFonts w:ascii="Open Sans" w:cs="Open Sans" w:eastAsia="Open Sans" w:hAnsi="Open Sans"/>
                <w:color w:val="ed7d31"/>
                <w:sz w:val="19"/>
                <w:szCs w:val="19"/>
                <w:rtl w:val="0"/>
              </w:rPr>
              <w:t xml:space="preserve">1. Daniela Strigl: Und die Größe ist gefährlich ...</w:t>
            </w:r>
          </w:p>
          <w:p w:rsidR="00000000" w:rsidDel="00000000" w:rsidP="00000000" w:rsidRDefault="00000000" w:rsidRPr="00000000" w14:paraId="0000006E">
            <w:pPr>
              <w:rPr>
                <w:rFonts w:ascii="Open Sans" w:cs="Open Sans" w:eastAsia="Open Sans" w:hAnsi="Open Sans"/>
                <w:color w:val="ed7d31"/>
                <w:sz w:val="19"/>
                <w:szCs w:val="19"/>
              </w:rPr>
            </w:pPr>
            <w:r w:rsidDel="00000000" w:rsidR="00000000" w:rsidRPr="00000000">
              <w:rPr>
                <w:rFonts w:ascii="Open Sans" w:cs="Open Sans" w:eastAsia="Open Sans" w:hAnsi="Open Sans"/>
                <w:color w:val="ed7d31"/>
                <w:sz w:val="19"/>
                <w:szCs w:val="19"/>
                <w:rtl w:val="0"/>
              </w:rPr>
              <w:t xml:space="preserve">2. Hans Höller: “Diesen liebe ich schon ernstlich.”...</w:t>
            </w:r>
          </w:p>
          <w:p w:rsidR="00000000" w:rsidDel="00000000" w:rsidP="00000000" w:rsidRDefault="00000000" w:rsidRPr="00000000" w14:paraId="0000006F">
            <w:pPr>
              <w:rPr>
                <w:rFonts w:ascii="Open Sans" w:cs="Open Sans" w:eastAsia="Open Sans" w:hAnsi="Open Sans"/>
                <w:color w:val="ed7d31"/>
                <w:sz w:val="19"/>
                <w:szCs w:val="19"/>
              </w:rPr>
            </w:pPr>
            <w:r w:rsidDel="00000000" w:rsidR="00000000" w:rsidRPr="00000000">
              <w:rPr>
                <w:rFonts w:ascii="Open Sans" w:cs="Open Sans" w:eastAsia="Open Sans" w:hAnsi="Open Sans"/>
                <w:color w:val="ed7d31"/>
                <w:sz w:val="19"/>
                <w:szCs w:val="19"/>
                <w:rtl w:val="0"/>
              </w:rPr>
              <w:t xml:space="preserve">Beides in FRANZ GRILLPARZER. Ein Klassiker für die Gegenwart. Hg.von Bernhard Fetz, Michael Hansel und Hannes Schweiger ... 2016</w:t>
            </w:r>
          </w:p>
          <w:p w:rsidR="00000000" w:rsidDel="00000000" w:rsidP="00000000" w:rsidRDefault="00000000" w:rsidRPr="00000000" w14:paraId="00000070">
            <w:pPr>
              <w:rPr>
                <w:rFonts w:ascii="Open Sans" w:cs="Open Sans" w:eastAsia="Open Sans" w:hAnsi="Open Sans"/>
                <w:color w:val="ed7d31"/>
                <w:sz w:val="19"/>
                <w:szCs w:val="19"/>
              </w:rPr>
            </w:pPr>
            <w:r w:rsidDel="00000000" w:rsidR="00000000" w:rsidRPr="00000000">
              <w:rPr>
                <w:rtl w:val="0"/>
              </w:rPr>
            </w:r>
          </w:p>
          <w:p w:rsidR="00000000" w:rsidDel="00000000" w:rsidP="00000000" w:rsidRDefault="00000000" w:rsidRPr="00000000" w14:paraId="00000071">
            <w:pPr>
              <w:rPr>
                <w:rFonts w:ascii="Open Sans" w:cs="Open Sans" w:eastAsia="Open Sans" w:hAnsi="Open Sans"/>
                <w:color w:val="ed7d31"/>
                <w:sz w:val="19"/>
                <w:szCs w:val="19"/>
              </w:rPr>
            </w:pPr>
            <w:r w:rsidDel="00000000" w:rsidR="00000000" w:rsidRPr="00000000">
              <w:rPr>
                <w:rFonts w:ascii="Open Sans" w:cs="Open Sans" w:eastAsia="Open Sans" w:hAnsi="Open Sans"/>
                <w:color w:val="ed7d31"/>
                <w:sz w:val="19"/>
                <w:szCs w:val="19"/>
                <w:rtl w:val="0"/>
              </w:rPr>
              <w:t xml:space="preserve">3. Norbert Bachleitner: Die Theaterzensur in der Habsburgermonarchie im 19. Jahrhundert.</w:t>
            </w:r>
          </w:p>
          <w:p w:rsidR="00000000" w:rsidDel="00000000" w:rsidP="00000000" w:rsidRDefault="00000000" w:rsidRPr="00000000" w14:paraId="00000072">
            <w:pPr>
              <w:rPr>
                <w:rFonts w:ascii="Open Sans" w:cs="Open Sans" w:eastAsia="Open Sans" w:hAnsi="Open Sans"/>
                <w:color w:val="ed7d31"/>
                <w:sz w:val="19"/>
                <w:szCs w:val="19"/>
              </w:rPr>
            </w:pPr>
            <w:r w:rsidDel="00000000" w:rsidR="00000000" w:rsidRPr="00000000">
              <w:rPr>
                <w:rtl w:val="0"/>
              </w:rPr>
            </w:r>
          </w:p>
          <w:p w:rsidR="00000000" w:rsidDel="00000000" w:rsidP="00000000" w:rsidRDefault="00000000" w:rsidRPr="00000000" w14:paraId="00000073">
            <w:pPr>
              <w:rPr>
                <w:rFonts w:ascii="Open Sans" w:cs="Open Sans" w:eastAsia="Open Sans" w:hAnsi="Open Sans"/>
                <w:color w:val="ed7d31"/>
                <w:sz w:val="19"/>
                <w:szCs w:val="19"/>
              </w:rPr>
            </w:pPr>
            <w:r w:rsidDel="00000000" w:rsidR="00000000" w:rsidRPr="00000000">
              <w:rPr>
                <w:rFonts w:ascii="Open Sans" w:cs="Open Sans" w:eastAsia="Open Sans" w:hAnsi="Open Sans"/>
                <w:color w:val="ed7d31"/>
                <w:sz w:val="19"/>
                <w:szCs w:val="19"/>
                <w:rtl w:val="0"/>
              </w:rPr>
              <w:t xml:space="preserve">4. Vlasta Reitererová in: </w:t>
            </w:r>
            <w:r w:rsidDel="00000000" w:rsidR="00000000" w:rsidRPr="00000000">
              <w:rPr>
                <w:rFonts w:ascii="Open Sans" w:cs="Open Sans" w:eastAsia="Open Sans" w:hAnsi="Open Sans"/>
                <w:i w:val="1"/>
                <w:color w:val="ed7d31"/>
                <w:sz w:val="19"/>
                <w:szCs w:val="19"/>
                <w:rtl w:val="0"/>
              </w:rPr>
              <w:t xml:space="preserve">Sláva a pád krále Otakara. </w:t>
            </w:r>
            <w:r w:rsidDel="00000000" w:rsidR="00000000" w:rsidRPr="00000000">
              <w:rPr>
                <w:rFonts w:ascii="Open Sans" w:cs="Open Sans" w:eastAsia="Open Sans" w:hAnsi="Open Sans"/>
                <w:color w:val="ed7d31"/>
                <w:sz w:val="19"/>
                <w:szCs w:val="19"/>
                <w:rtl w:val="0"/>
              </w:rPr>
              <w:t xml:space="preserve">Přeložil Radek Malý ; poznámkami, vysvětlivkami a doprovodnými studiemi opatřily Václava Kofránková a Vlasta Reittererová. Pha: Městská divadla pražská, 2019.</w:t>
            </w:r>
          </w:p>
          <w:p w:rsidR="00000000" w:rsidDel="00000000" w:rsidP="00000000" w:rsidRDefault="00000000" w:rsidRPr="00000000" w14:paraId="00000074">
            <w:pPr>
              <w:rPr>
                <w:rFonts w:ascii="Open Sans" w:cs="Open Sans" w:eastAsia="Open Sans" w:hAnsi="Open Sans"/>
                <w:color w:val="ed7d31"/>
                <w:sz w:val="19"/>
                <w:szCs w:val="19"/>
              </w:rPr>
            </w:pPr>
            <w:r w:rsidDel="00000000" w:rsidR="00000000" w:rsidRPr="00000000">
              <w:rPr>
                <w:rtl w:val="0"/>
              </w:rPr>
            </w:r>
          </w:p>
          <w:p w:rsidR="00000000" w:rsidDel="00000000" w:rsidP="00000000" w:rsidRDefault="00000000" w:rsidRPr="00000000" w14:paraId="00000075">
            <w:pPr>
              <w:rPr>
                <w:rFonts w:ascii="Open Sans" w:cs="Open Sans" w:eastAsia="Open Sans" w:hAnsi="Open Sans"/>
                <w:color w:val="ed7d31"/>
                <w:sz w:val="19"/>
                <w:szCs w:val="19"/>
              </w:rPr>
            </w:pPr>
            <w:r w:rsidDel="00000000" w:rsidR="00000000" w:rsidRPr="00000000">
              <w:rPr>
                <w:rFonts w:ascii="Open Sans" w:cs="Open Sans" w:eastAsia="Open Sans" w:hAnsi="Open Sans"/>
                <w:color w:val="ed7d31"/>
                <w:sz w:val="19"/>
                <w:szCs w:val="19"/>
                <w:rtl w:val="0"/>
              </w:rPr>
              <w:t xml:space="preserve">Ich bin bereit, individuell die jeweiligen Konzepte zu besprechen.</w:t>
            </w:r>
          </w:p>
          <w:p w:rsidR="00000000" w:rsidDel="00000000" w:rsidP="00000000" w:rsidRDefault="00000000" w:rsidRPr="00000000" w14:paraId="00000076">
            <w:pPr>
              <w:rPr>
                <w:rFonts w:ascii="Open Sans" w:cs="Open Sans" w:eastAsia="Open Sans" w:hAnsi="Open Sans"/>
                <w:color w:val="ed7d31"/>
                <w:sz w:val="19"/>
                <w:szCs w:val="19"/>
              </w:rPr>
            </w:pPr>
            <w:r w:rsidDel="00000000" w:rsidR="00000000" w:rsidRPr="00000000">
              <w:rPr>
                <w:rFonts w:ascii="Open Sans" w:cs="Open Sans" w:eastAsia="Open Sans" w:hAnsi="Open Sans"/>
                <w:color w:val="ed7d31"/>
                <w:sz w:val="19"/>
                <w:szCs w:val="19"/>
                <w:rtl w:val="0"/>
              </w:rPr>
              <w:t xml:space="preserve"> </w:t>
            </w:r>
          </w:p>
        </w:tc>
      </w:tr>
      <w:tr>
        <w:trPr>
          <w:cantSplit w:val="0"/>
          <w:tblHeader w:val="0"/>
        </w:trPr>
        <w:tc>
          <w:tcPr>
            <w:vAlign w:val="center"/>
          </w:tcPr>
          <w:p w:rsidR="00000000" w:rsidDel="00000000" w:rsidP="00000000" w:rsidRDefault="00000000" w:rsidRPr="00000000" w14:paraId="00000077">
            <w:pPr>
              <w:numPr>
                <w:ilvl w:val="0"/>
                <w:numId w:val="8"/>
              </w:numPr>
              <w:pBdr>
                <w:top w:space="0" w:sz="0" w:val="nil"/>
                <w:left w:space="0" w:sz="0" w:val="nil"/>
                <w:bottom w:space="0" w:sz="0" w:val="nil"/>
                <w:right w:space="0" w:sz="0" w:val="nil"/>
                <w:between w:space="0" w:sz="0" w:val="nil"/>
              </w:pBdr>
              <w:ind w:left="720" w:hanging="360"/>
              <w:rPr>
                <w:color w:val="ed7d31"/>
                <w:sz w:val="24"/>
                <w:szCs w:val="24"/>
              </w:rPr>
            </w:pPr>
            <w:r w:rsidDel="00000000" w:rsidR="00000000" w:rsidRPr="00000000">
              <w:rPr>
                <w:color w:val="ed7d31"/>
                <w:sz w:val="24"/>
                <w:szCs w:val="24"/>
                <w:rtl w:val="0"/>
              </w:rPr>
              <w:t xml:space="preserve">Johann Nepomuk Nestroys Figur des Zwirn  und der komödiantische  Effekt des code switching zwischen Hochdeutsch, Dialekt und Nachahmung des Italienischen in einer Szene der Zauberposse </w:t>
            </w:r>
            <w:r w:rsidDel="00000000" w:rsidR="00000000" w:rsidRPr="00000000">
              <w:rPr>
                <w:i w:val="1"/>
                <w:color w:val="ed7d31"/>
                <w:sz w:val="24"/>
                <w:szCs w:val="24"/>
                <w:rtl w:val="0"/>
              </w:rPr>
              <w:t xml:space="preserve">Der böse Geist Lumpacivagabundus oder: Das liederliche Kleeblatt.</w:t>
            </w:r>
            <w:r w:rsidDel="00000000" w:rsidR="00000000" w:rsidRPr="00000000">
              <w:rPr>
                <w:color w:val="ed7d31"/>
                <w:sz w:val="24"/>
                <w:szCs w:val="24"/>
                <w:rtl w:val="0"/>
              </w:rPr>
              <w:t xml:space="preserve"> </w:t>
            </w:r>
          </w:p>
        </w:tc>
        <w:tc>
          <w:tcPr>
            <w:vAlign w:val="center"/>
          </w:tcPr>
          <w:p w:rsidR="00000000" w:rsidDel="00000000" w:rsidP="00000000" w:rsidRDefault="00000000" w:rsidRPr="00000000" w14:paraId="00000078">
            <w:pPr>
              <w:rPr>
                <w:rFonts w:ascii="Open Sans" w:cs="Open Sans" w:eastAsia="Open Sans" w:hAnsi="Open Sans"/>
                <w:color w:val="ed7d31"/>
                <w:sz w:val="19"/>
                <w:szCs w:val="19"/>
              </w:rPr>
            </w:pPr>
            <w:r w:rsidDel="00000000" w:rsidR="00000000" w:rsidRPr="00000000">
              <w:rPr>
                <w:rFonts w:ascii="Open Sans" w:cs="Open Sans" w:eastAsia="Open Sans" w:hAnsi="Open Sans"/>
                <w:i w:val="1"/>
                <w:color w:val="ed7d31"/>
                <w:sz w:val="19"/>
                <w:szCs w:val="19"/>
                <w:rtl w:val="0"/>
              </w:rPr>
              <w:t xml:space="preserve">Vede:</w:t>
            </w:r>
            <w:r w:rsidDel="00000000" w:rsidR="00000000" w:rsidRPr="00000000">
              <w:rPr>
                <w:rFonts w:ascii="Open Sans" w:cs="Open Sans" w:eastAsia="Open Sans" w:hAnsi="Open Sans"/>
                <w:color w:val="ed7d31"/>
                <w:sz w:val="19"/>
                <w:szCs w:val="19"/>
                <w:rtl w:val="0"/>
              </w:rPr>
              <w:t xml:space="preserve"> PhDr. Zdeněk Mareček, Ph.D.</w:t>
            </w:r>
          </w:p>
          <w:p w:rsidR="00000000" w:rsidDel="00000000" w:rsidP="00000000" w:rsidRDefault="00000000" w:rsidRPr="00000000" w14:paraId="00000079">
            <w:pPr>
              <w:rPr>
                <w:rFonts w:ascii="Open Sans" w:cs="Open Sans" w:eastAsia="Open Sans" w:hAnsi="Open Sans"/>
                <w:color w:val="ed7d31"/>
                <w:sz w:val="19"/>
                <w:szCs w:val="19"/>
              </w:rPr>
            </w:pPr>
            <w:r w:rsidDel="00000000" w:rsidR="00000000" w:rsidRPr="00000000">
              <w:rPr>
                <w:rFonts w:ascii="Open Sans" w:cs="Open Sans" w:eastAsia="Open Sans" w:hAnsi="Open Sans"/>
                <w:i w:val="1"/>
                <w:color w:val="ed7d31"/>
                <w:sz w:val="19"/>
                <w:szCs w:val="19"/>
                <w:rtl w:val="0"/>
              </w:rPr>
              <w:t xml:space="preserve">Walter Schübler:  Nestroy. Eine Biographie in 30 Szenen. 2001 </w:t>
            </w:r>
            <w:r w:rsidDel="00000000" w:rsidR="00000000" w:rsidRPr="00000000">
              <w:rPr>
                <w:rtl w:val="0"/>
              </w:rPr>
            </w:r>
          </w:p>
          <w:p w:rsidR="00000000" w:rsidDel="00000000" w:rsidP="00000000" w:rsidRDefault="00000000" w:rsidRPr="00000000" w14:paraId="0000007A">
            <w:pPr>
              <w:rPr>
                <w:rFonts w:ascii="Open Sans" w:cs="Open Sans" w:eastAsia="Open Sans" w:hAnsi="Open Sans"/>
                <w:color w:val="ed7d31"/>
                <w:sz w:val="19"/>
                <w:szCs w:val="19"/>
              </w:rPr>
            </w:pPr>
            <w:r w:rsidDel="00000000" w:rsidR="00000000" w:rsidRPr="00000000">
              <w:rPr>
                <w:rFonts w:ascii="Open Sans" w:cs="Open Sans" w:eastAsia="Open Sans" w:hAnsi="Open Sans"/>
                <w:i w:val="1"/>
                <w:color w:val="ed7d31"/>
                <w:sz w:val="19"/>
                <w:szCs w:val="19"/>
                <w:rtl w:val="0"/>
              </w:rPr>
              <w:t xml:space="preserve">Wendelin Schmidt-Dengler: Nestroy : die Launen des Glückes. 2001</w:t>
            </w:r>
            <w:r w:rsidDel="00000000" w:rsidR="00000000" w:rsidRPr="00000000">
              <w:rPr>
                <w:rtl w:val="0"/>
              </w:rPr>
            </w:r>
          </w:p>
          <w:p w:rsidR="00000000" w:rsidDel="00000000" w:rsidP="00000000" w:rsidRDefault="00000000" w:rsidRPr="00000000" w14:paraId="0000007B">
            <w:pPr>
              <w:rPr>
                <w:rFonts w:ascii="Open Sans" w:cs="Open Sans" w:eastAsia="Open Sans" w:hAnsi="Open Sans"/>
                <w:color w:val="ed7d31"/>
                <w:sz w:val="19"/>
                <w:szCs w:val="19"/>
              </w:rPr>
            </w:pPr>
            <w:r w:rsidDel="00000000" w:rsidR="00000000" w:rsidRPr="00000000">
              <w:rPr>
                <w:rFonts w:ascii="Open Sans" w:cs="Open Sans" w:eastAsia="Open Sans" w:hAnsi="Open Sans"/>
                <w:i w:val="1"/>
                <w:color w:val="ed7d31"/>
                <w:sz w:val="19"/>
                <w:szCs w:val="19"/>
                <w:rtl w:val="0"/>
              </w:rPr>
              <w:t xml:space="preserve">Jürgen Hein: Johann Nestroy. J.B. Metzler, 1990</w:t>
            </w:r>
            <w:r w:rsidDel="00000000" w:rsidR="00000000" w:rsidRPr="00000000">
              <w:rPr>
                <w:rtl w:val="0"/>
              </w:rPr>
            </w:r>
          </w:p>
          <w:p w:rsidR="00000000" w:rsidDel="00000000" w:rsidP="00000000" w:rsidRDefault="00000000" w:rsidRPr="00000000" w14:paraId="0000007C">
            <w:pPr>
              <w:rPr>
                <w:rFonts w:ascii="Open Sans" w:cs="Open Sans" w:eastAsia="Open Sans" w:hAnsi="Open Sans"/>
                <w:color w:val="ed7d31"/>
                <w:sz w:val="19"/>
                <w:szCs w:val="19"/>
              </w:rPr>
            </w:pPr>
            <w:r w:rsidDel="00000000" w:rsidR="00000000" w:rsidRPr="00000000">
              <w:rPr>
                <w:rtl w:val="0"/>
              </w:rPr>
            </w:r>
          </w:p>
          <w:p w:rsidR="00000000" w:rsidDel="00000000" w:rsidP="00000000" w:rsidRDefault="00000000" w:rsidRPr="00000000" w14:paraId="0000007D">
            <w:pPr>
              <w:rPr>
                <w:rFonts w:ascii="Open Sans" w:cs="Open Sans" w:eastAsia="Open Sans" w:hAnsi="Open Sans"/>
                <w:color w:val="ed7d31"/>
                <w:sz w:val="19"/>
                <w:szCs w:val="19"/>
              </w:rPr>
            </w:pPr>
            <w:r w:rsidDel="00000000" w:rsidR="00000000" w:rsidRPr="00000000">
              <w:rPr>
                <w:rFonts w:ascii="Open Sans" w:cs="Open Sans" w:eastAsia="Open Sans" w:hAnsi="Open Sans"/>
                <w:color w:val="ed7d31"/>
                <w:sz w:val="19"/>
                <w:szCs w:val="19"/>
                <w:rtl w:val="0"/>
              </w:rPr>
              <w:t xml:space="preserve">Ich bin bereit, inviduell die jeweiligen Konzepte zu besprechen.</w:t>
            </w:r>
          </w:p>
          <w:p w:rsidR="00000000" w:rsidDel="00000000" w:rsidP="00000000" w:rsidRDefault="00000000" w:rsidRPr="00000000" w14:paraId="0000007E">
            <w:pPr>
              <w:rPr>
                <w:rFonts w:ascii="Open Sans" w:cs="Open Sans" w:eastAsia="Open Sans" w:hAnsi="Open Sans"/>
                <w:color w:val="ed7d31"/>
                <w:sz w:val="19"/>
                <w:szCs w:val="19"/>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F">
            <w:pPr>
              <w:numPr>
                <w:ilvl w:val="0"/>
                <w:numId w:val="8"/>
              </w:numPr>
              <w:pBdr>
                <w:top w:space="0" w:sz="0" w:val="nil"/>
                <w:left w:space="0" w:sz="0" w:val="nil"/>
                <w:bottom w:space="0" w:sz="0" w:val="nil"/>
                <w:right w:space="0" w:sz="0" w:val="nil"/>
                <w:between w:space="0" w:sz="0" w:val="nil"/>
              </w:pBdr>
              <w:ind w:left="720" w:hanging="360"/>
              <w:rPr>
                <w:color w:val="ed7d31"/>
              </w:rPr>
            </w:pPr>
            <w:r w:rsidDel="00000000" w:rsidR="00000000" w:rsidRPr="00000000">
              <w:rPr>
                <w:color w:val="ed7d31"/>
                <w:sz w:val="24"/>
                <w:szCs w:val="24"/>
                <w:rtl w:val="0"/>
              </w:rPr>
              <w:t xml:space="preserve">Milieu und Determinierung bei Marie von Ebner-Eschenbach bzw. J. J. David</w:t>
            </w:r>
            <w:r w:rsidDel="00000000" w:rsidR="00000000" w:rsidRPr="00000000">
              <w:rPr>
                <w:rtl w:val="0"/>
              </w:rPr>
            </w:r>
          </w:p>
        </w:tc>
        <w:tc>
          <w:tcPr>
            <w:vAlign w:val="center"/>
          </w:tcPr>
          <w:p w:rsidR="00000000" w:rsidDel="00000000" w:rsidP="00000000" w:rsidRDefault="00000000" w:rsidRPr="00000000" w14:paraId="00000080">
            <w:pPr>
              <w:rPr>
                <w:rFonts w:ascii="Open Sans" w:cs="Open Sans" w:eastAsia="Open Sans" w:hAnsi="Open Sans"/>
                <w:color w:val="ed7d31"/>
                <w:sz w:val="19"/>
                <w:szCs w:val="19"/>
              </w:rPr>
            </w:pPr>
            <w:r w:rsidDel="00000000" w:rsidR="00000000" w:rsidRPr="00000000">
              <w:rPr>
                <w:rFonts w:ascii="Open Sans" w:cs="Open Sans" w:eastAsia="Open Sans" w:hAnsi="Open Sans"/>
                <w:i w:val="1"/>
                <w:color w:val="ed7d31"/>
                <w:sz w:val="19"/>
                <w:szCs w:val="19"/>
                <w:rtl w:val="0"/>
              </w:rPr>
              <w:t xml:space="preserve">Vede:</w:t>
            </w:r>
            <w:r w:rsidDel="00000000" w:rsidR="00000000" w:rsidRPr="00000000">
              <w:rPr>
                <w:rFonts w:ascii="Open Sans" w:cs="Open Sans" w:eastAsia="Open Sans" w:hAnsi="Open Sans"/>
                <w:color w:val="ed7d31"/>
                <w:sz w:val="19"/>
                <w:szCs w:val="19"/>
                <w:rtl w:val="0"/>
              </w:rPr>
              <w:t xml:space="preserve"> Mgr. Jan Budňák, Ph.D.</w:t>
            </w:r>
          </w:p>
          <w:p w:rsidR="00000000" w:rsidDel="00000000" w:rsidP="00000000" w:rsidRDefault="00000000" w:rsidRPr="00000000" w14:paraId="00000081">
            <w:pPr>
              <w:rPr>
                <w:rFonts w:ascii="Open Sans" w:cs="Open Sans" w:eastAsia="Open Sans" w:hAnsi="Open Sans"/>
                <w:sz w:val="19"/>
                <w:szCs w:val="19"/>
              </w:rPr>
            </w:pPr>
            <w:r w:rsidDel="00000000" w:rsidR="00000000" w:rsidRPr="00000000">
              <w:rPr>
                <w:rFonts w:ascii="Open Sans" w:cs="Open Sans" w:eastAsia="Open Sans" w:hAnsi="Open Sans"/>
                <w:color w:val="0a0a0a"/>
                <w:sz w:val="19"/>
                <w:szCs w:val="19"/>
                <w:rtl w:val="0"/>
              </w:rPr>
              <w:t xml:space="preserve">Von Ebner-Eschenbach und ihren Texten wird immer wieder behauptet, sie bieten ein Gegenprogramm zu der spätrealistischen und naturalistischen Vorstellung von Milieudeterminierung an. Die Aufgabe des Essays wäre, diese Hypothese zu überprüfen. (anhand von: Lotti, die Uhrmacherin, Das Gemeindekind, Das Schädliche u.a.). Dieselbe Hypothese könnte für die Romane von J. J. David überprüft werden (Das Blut, Der Übergang, Am Wege sterben, alle im Volltext online). Hugo Aust: Realismus. Lehrbuch Germanistik. D. Strigl: Berühmtsein ist nichts. Biographie von M. von Ebner-Eschenbach. W. Fähnders: Avantgarde und Moderne (Abschnitt: Naturalismus) P. Strelka: Des Mitleids tiefe Liebesfähigkeit M. von Ebner-Eschenbach: Das Gemeindekind.</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82">
            <w:pPr>
              <w:numPr>
                <w:ilvl w:val="0"/>
                <w:numId w:val="8"/>
              </w:numPr>
              <w:pBdr>
                <w:top w:space="0" w:sz="0" w:val="nil"/>
                <w:left w:space="0" w:sz="0" w:val="nil"/>
                <w:bottom w:space="0" w:sz="0" w:val="nil"/>
                <w:right w:space="0" w:sz="0" w:val="nil"/>
                <w:between w:space="0" w:sz="0" w:val="nil"/>
              </w:pBdr>
              <w:ind w:left="720" w:hanging="360"/>
              <w:rPr>
                <w:color w:val="ed7d31"/>
                <w:sz w:val="24"/>
                <w:szCs w:val="24"/>
              </w:rPr>
            </w:pPr>
            <w:r w:rsidDel="00000000" w:rsidR="00000000" w:rsidRPr="00000000">
              <w:rPr>
                <w:color w:val="ed7d31"/>
                <w:sz w:val="24"/>
                <w:szCs w:val="24"/>
                <w:rtl w:val="0"/>
              </w:rPr>
              <w:t xml:space="preserve">Deutscher Naturalismus als europäisches Ereignis (Drama)</w:t>
            </w:r>
          </w:p>
        </w:tc>
        <w:tc>
          <w:tcPr>
            <w:vAlign w:val="center"/>
          </w:tcPr>
          <w:p w:rsidR="00000000" w:rsidDel="00000000" w:rsidP="00000000" w:rsidRDefault="00000000" w:rsidRPr="00000000" w14:paraId="00000083">
            <w:pPr>
              <w:rPr>
                <w:rFonts w:ascii="Open Sans" w:cs="Open Sans" w:eastAsia="Open Sans" w:hAnsi="Open Sans"/>
                <w:color w:val="000000"/>
                <w:sz w:val="17"/>
                <w:szCs w:val="17"/>
              </w:rPr>
            </w:pPr>
            <w:r w:rsidDel="00000000" w:rsidR="00000000" w:rsidRPr="00000000">
              <w:rPr>
                <w:color w:val="ed7d31"/>
                <w:rtl w:val="0"/>
              </w:rPr>
              <w:t xml:space="preserve">doc. Mgr. Aleš Urválek, Ph.D.</w:t>
            </w:r>
            <w:r w:rsidDel="00000000" w:rsidR="00000000" w:rsidRPr="00000000">
              <w:rPr>
                <w:rFonts w:ascii="Open Sans" w:cs="Open Sans" w:eastAsia="Open Sans" w:hAnsi="Open Sans"/>
                <w:color w:val="000000"/>
                <w:sz w:val="17"/>
                <w:szCs w:val="17"/>
                <w:rtl w:val="0"/>
              </w:rPr>
              <w:t xml:space="preserve"> Spurensuche zwischen Strindberg, Ibsen und Hauptmann, ggf. Familie Selicke (Schlaf a Holz). Primäre Texte sind (Strindberg, Ibsen..) online, sekundäre: I. Stoeckmann: Naturalismus. (in der Bibliothek FF). </w:t>
            </w:r>
          </w:p>
          <w:p w:rsidR="00000000" w:rsidDel="00000000" w:rsidP="00000000" w:rsidRDefault="00000000" w:rsidRPr="00000000" w14:paraId="00000084">
            <w:pPr>
              <w:rPr>
                <w:color w:val="ed7d3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5">
            <w:pPr>
              <w:numPr>
                <w:ilvl w:val="0"/>
                <w:numId w:val="8"/>
              </w:numPr>
              <w:pBdr>
                <w:top w:space="0" w:sz="0" w:val="nil"/>
                <w:left w:space="0" w:sz="0" w:val="nil"/>
                <w:bottom w:space="0" w:sz="0" w:val="nil"/>
                <w:right w:space="0" w:sz="0" w:val="nil"/>
                <w:between w:space="0" w:sz="0" w:val="nil"/>
              </w:pBdr>
              <w:ind w:left="720" w:hanging="360"/>
              <w:rPr>
                <w:color w:val="ed7d31"/>
                <w:sz w:val="24"/>
                <w:szCs w:val="24"/>
              </w:rPr>
            </w:pPr>
            <w:r w:rsidDel="00000000" w:rsidR="00000000" w:rsidRPr="00000000">
              <w:rPr>
                <w:color w:val="ed7d31"/>
                <w:sz w:val="24"/>
                <w:szCs w:val="24"/>
                <w:rtl w:val="0"/>
              </w:rPr>
              <w:t xml:space="preserve">Die Angst vor der Unentrinnbarkeit des Lebens. Zu Hugo von Hofmmansthals Erzählung </w:t>
            </w:r>
            <w:r w:rsidDel="00000000" w:rsidR="00000000" w:rsidRPr="00000000">
              <w:rPr>
                <w:i w:val="1"/>
                <w:color w:val="ed7d31"/>
                <w:sz w:val="24"/>
                <w:szCs w:val="24"/>
                <w:rtl w:val="0"/>
              </w:rPr>
              <w:t xml:space="preserve">Das Märchen der 672. Nacht</w:t>
            </w:r>
            <w:r w:rsidDel="00000000" w:rsidR="00000000" w:rsidRPr="00000000">
              <w:rPr>
                <w:rtl w:val="0"/>
              </w:rPr>
            </w:r>
          </w:p>
        </w:tc>
        <w:tc>
          <w:tcPr>
            <w:vAlign w:val="center"/>
          </w:tcPr>
          <w:p w:rsidR="00000000" w:rsidDel="00000000" w:rsidP="00000000" w:rsidRDefault="00000000" w:rsidRPr="00000000" w14:paraId="00000086">
            <w:pPr>
              <w:rPr>
                <w:rFonts w:ascii="Open Sans" w:cs="Open Sans" w:eastAsia="Open Sans" w:hAnsi="Open Sans"/>
                <w:color w:val="ed7d31"/>
                <w:sz w:val="19"/>
                <w:szCs w:val="19"/>
              </w:rPr>
            </w:pPr>
            <w:r w:rsidDel="00000000" w:rsidR="00000000" w:rsidRPr="00000000">
              <w:rPr>
                <w:rFonts w:ascii="Open Sans" w:cs="Open Sans" w:eastAsia="Open Sans" w:hAnsi="Open Sans"/>
                <w:i w:val="1"/>
                <w:color w:val="ed7d31"/>
                <w:sz w:val="19"/>
                <w:szCs w:val="19"/>
                <w:rtl w:val="0"/>
              </w:rPr>
              <w:t xml:space="preserve">Vede:</w:t>
            </w:r>
            <w:r w:rsidDel="00000000" w:rsidR="00000000" w:rsidRPr="00000000">
              <w:rPr>
                <w:rFonts w:ascii="Open Sans" w:cs="Open Sans" w:eastAsia="Open Sans" w:hAnsi="Open Sans"/>
                <w:color w:val="ed7d31"/>
                <w:sz w:val="19"/>
                <w:szCs w:val="19"/>
                <w:rtl w:val="0"/>
              </w:rPr>
              <w:t xml:space="preserve"> PhDr. Zdeněk Mareček, Ph.D.</w:t>
            </w:r>
          </w:p>
          <w:p w:rsidR="00000000" w:rsidDel="00000000" w:rsidP="00000000" w:rsidRDefault="00000000" w:rsidRPr="00000000" w14:paraId="00000087">
            <w:pPr>
              <w:rPr>
                <w:rFonts w:ascii="Open Sans" w:cs="Open Sans" w:eastAsia="Open Sans" w:hAnsi="Open Sans"/>
                <w:color w:val="ed7d31"/>
                <w:sz w:val="19"/>
                <w:szCs w:val="19"/>
              </w:rPr>
            </w:pPr>
            <w:r w:rsidDel="00000000" w:rsidR="00000000" w:rsidRPr="00000000">
              <w:rPr>
                <w:rFonts w:ascii="Open Sans" w:cs="Open Sans" w:eastAsia="Open Sans" w:hAnsi="Open Sans"/>
                <w:color w:val="ed7d31"/>
                <w:sz w:val="19"/>
                <w:szCs w:val="19"/>
                <w:rtl w:val="0"/>
              </w:rPr>
              <w:t xml:space="preserve">AJOURI, Philipp: Literatur um 1900. Literatur um 1900. Naturalismus – Fin de Siècle – Expressionismus. Akademie Verlag, Berlin 2009.</w:t>
            </w:r>
          </w:p>
          <w:p w:rsidR="00000000" w:rsidDel="00000000" w:rsidP="00000000" w:rsidRDefault="00000000" w:rsidRPr="00000000" w14:paraId="00000088">
            <w:pPr>
              <w:rPr>
                <w:rFonts w:ascii="Open Sans" w:cs="Open Sans" w:eastAsia="Open Sans" w:hAnsi="Open Sans"/>
                <w:color w:val="ed7d31"/>
                <w:sz w:val="19"/>
                <w:szCs w:val="19"/>
              </w:rPr>
            </w:pPr>
            <w:r w:rsidDel="00000000" w:rsidR="00000000" w:rsidRPr="00000000">
              <w:rPr>
                <w:rFonts w:ascii="Open Sans" w:cs="Open Sans" w:eastAsia="Open Sans" w:hAnsi="Open Sans"/>
                <w:color w:val="ed7d31"/>
                <w:sz w:val="19"/>
                <w:szCs w:val="19"/>
                <w:rtl w:val="0"/>
              </w:rPr>
              <w:t xml:space="preserve">Mathias Mayer / Julian Werlitz (Hg.): Hofmannsthal-Handbuch. Leben – Werk – Wirkung.  (hier</w:t>
            </w:r>
          </w:p>
          <w:p w:rsidR="00000000" w:rsidDel="00000000" w:rsidP="00000000" w:rsidRDefault="00000000" w:rsidRPr="00000000" w14:paraId="00000089">
            <w:pPr>
              <w:rPr>
                <w:rFonts w:ascii="Open Sans" w:cs="Open Sans" w:eastAsia="Open Sans" w:hAnsi="Open Sans"/>
                <w:color w:val="ed7d31"/>
                <w:sz w:val="19"/>
                <w:szCs w:val="19"/>
              </w:rPr>
            </w:pPr>
            <w:r w:rsidDel="00000000" w:rsidR="00000000" w:rsidRPr="00000000">
              <w:rPr>
                <w:rFonts w:ascii="Open Sans" w:cs="Open Sans" w:eastAsia="Open Sans" w:hAnsi="Open Sans"/>
                <w:color w:val="ed7d31"/>
                <w:sz w:val="19"/>
                <w:szCs w:val="19"/>
                <w:rtl w:val="0"/>
              </w:rPr>
              <w:t xml:space="preserve">Roland Innerhofer: »Das Märchen der 672. Nacht« (1895), S. 276-278</w:t>
            </w:r>
          </w:p>
          <w:p w:rsidR="00000000" w:rsidDel="00000000" w:rsidP="00000000" w:rsidRDefault="00000000" w:rsidRPr="00000000" w14:paraId="0000008A">
            <w:pPr>
              <w:rPr>
                <w:rFonts w:ascii="Open Sans" w:cs="Open Sans" w:eastAsia="Open Sans" w:hAnsi="Open Sans"/>
                <w:color w:val="ed7d31"/>
                <w:sz w:val="19"/>
                <w:szCs w:val="19"/>
              </w:rPr>
            </w:pPr>
            <w:r w:rsidDel="00000000" w:rsidR="00000000" w:rsidRPr="00000000">
              <w:rPr>
                <w:rtl w:val="0"/>
              </w:rPr>
            </w:r>
          </w:p>
          <w:p w:rsidR="00000000" w:rsidDel="00000000" w:rsidP="00000000" w:rsidRDefault="00000000" w:rsidRPr="00000000" w14:paraId="0000008B">
            <w:pPr>
              <w:rPr>
                <w:rFonts w:ascii="Open Sans" w:cs="Open Sans" w:eastAsia="Open Sans" w:hAnsi="Open Sans"/>
                <w:color w:val="ed7d31"/>
                <w:sz w:val="19"/>
                <w:szCs w:val="19"/>
              </w:rPr>
            </w:pPr>
            <w:r w:rsidDel="00000000" w:rsidR="00000000" w:rsidRPr="00000000">
              <w:rPr>
                <w:rFonts w:ascii="Open Sans" w:cs="Open Sans" w:eastAsia="Open Sans" w:hAnsi="Open Sans"/>
                <w:color w:val="ed7d31"/>
                <w:sz w:val="19"/>
                <w:szCs w:val="19"/>
                <w:rtl w:val="0"/>
              </w:rPr>
              <w:t xml:space="preserve">Ich bin bereit, inviduell die jeweiligen Konzepte zu besprechen.</w:t>
            </w:r>
          </w:p>
        </w:tc>
      </w:tr>
      <w:tr>
        <w:trPr>
          <w:cantSplit w:val="0"/>
          <w:trHeight w:val="300" w:hRule="atLeast"/>
          <w:tblHeader w:val="0"/>
        </w:trPr>
        <w:tc>
          <w:tcPr>
            <w:vAlign w:val="center"/>
          </w:tcPr>
          <w:p w:rsidR="00000000" w:rsidDel="00000000" w:rsidP="00000000" w:rsidRDefault="00000000" w:rsidRPr="00000000" w14:paraId="0000008C">
            <w:pPr>
              <w:numPr>
                <w:ilvl w:val="0"/>
                <w:numId w:val="8"/>
              </w:numPr>
              <w:pBdr>
                <w:top w:space="0" w:sz="0" w:val="nil"/>
                <w:left w:space="0" w:sz="0" w:val="nil"/>
                <w:bottom w:space="0" w:sz="0" w:val="nil"/>
                <w:right w:space="0" w:sz="0" w:val="nil"/>
                <w:between w:space="0" w:sz="0" w:val="nil"/>
              </w:pBdr>
              <w:ind w:left="720" w:hanging="360"/>
              <w:rPr>
                <w:rFonts w:ascii="Open Sans" w:cs="Open Sans" w:eastAsia="Open Sans" w:hAnsi="Open Sans"/>
                <w:color w:val="0a0a0a"/>
                <w:sz w:val="19"/>
                <w:szCs w:val="19"/>
              </w:rPr>
            </w:pPr>
            <w:r w:rsidDel="00000000" w:rsidR="00000000" w:rsidRPr="00000000">
              <w:rPr>
                <w:rFonts w:ascii="Open Sans" w:cs="Open Sans" w:eastAsia="Open Sans" w:hAnsi="Open Sans"/>
                <w:color w:val="0a0a0a"/>
                <w:sz w:val="19"/>
                <w:szCs w:val="19"/>
                <w:rtl w:val="0"/>
              </w:rPr>
              <w:t xml:space="preserve">Rilke-Analysen</w:t>
            </w:r>
          </w:p>
        </w:tc>
        <w:tc>
          <w:tcPr>
            <w:vAlign w:val="center"/>
          </w:tcPr>
          <w:p w:rsidR="00000000" w:rsidDel="00000000" w:rsidP="00000000" w:rsidRDefault="00000000" w:rsidRPr="00000000" w14:paraId="0000008D">
            <w:pPr>
              <w:rPr>
                <w:rFonts w:ascii="Open Sans" w:cs="Open Sans" w:eastAsia="Open Sans" w:hAnsi="Open Sans"/>
                <w:i w:val="1"/>
                <w:color w:val="ed7c31"/>
                <w:sz w:val="19"/>
                <w:szCs w:val="19"/>
              </w:rPr>
            </w:pPr>
            <w:r w:rsidDel="00000000" w:rsidR="00000000" w:rsidRPr="00000000">
              <w:rPr>
                <w:rFonts w:ascii="Open Sans" w:cs="Open Sans" w:eastAsia="Open Sans" w:hAnsi="Open Sans"/>
                <w:i w:val="1"/>
                <w:color w:val="ed7c31"/>
                <w:sz w:val="19"/>
                <w:szCs w:val="19"/>
                <w:rtl w:val="0"/>
              </w:rPr>
              <w:t xml:space="preserve">Doc. Mgr. Sylvie Stanovská, Dr. </w:t>
            </w:r>
          </w:p>
          <w:p w:rsidR="00000000" w:rsidDel="00000000" w:rsidP="00000000" w:rsidRDefault="00000000" w:rsidRPr="00000000" w14:paraId="0000008E">
            <w:pPr>
              <w:rPr>
                <w:rFonts w:ascii="Open Sans" w:cs="Open Sans" w:eastAsia="Open Sans" w:hAnsi="Open Sans"/>
                <w:i w:val="1"/>
                <w:color w:val="ed7c31"/>
                <w:sz w:val="19"/>
                <w:szCs w:val="19"/>
              </w:rPr>
            </w:pPr>
            <w:r w:rsidDel="00000000" w:rsidR="00000000" w:rsidRPr="00000000">
              <w:rPr>
                <w:rFonts w:ascii="Open Sans" w:cs="Open Sans" w:eastAsia="Open Sans" w:hAnsi="Open Sans"/>
                <w:i w:val="1"/>
                <w:color w:val="ed7c31"/>
                <w:sz w:val="19"/>
                <w:szCs w:val="19"/>
                <w:rtl w:val="0"/>
              </w:rPr>
              <w:t xml:space="preserve">Primäre Texte sind online: </w:t>
            </w:r>
            <w:hyperlink r:id="rId8">
              <w:r w:rsidDel="00000000" w:rsidR="00000000" w:rsidRPr="00000000">
                <w:rPr>
                  <w:rFonts w:ascii="Open Sans" w:cs="Open Sans" w:eastAsia="Open Sans" w:hAnsi="Open Sans"/>
                  <w:i w:val="1"/>
                  <w:color w:val="0563c1"/>
                  <w:sz w:val="19"/>
                  <w:szCs w:val="19"/>
                  <w:u w:val="single"/>
                  <w:rtl w:val="0"/>
                </w:rPr>
                <w:t xml:space="preserve">www.rilke.de/</w:t>
              </w:r>
            </w:hyperlink>
            <w:r w:rsidDel="00000000" w:rsidR="00000000" w:rsidRPr="00000000">
              <w:rPr>
                <w:rFonts w:ascii="Open Sans" w:cs="Open Sans" w:eastAsia="Open Sans" w:hAnsi="Open Sans"/>
                <w:i w:val="1"/>
                <w:color w:val="ed7c31"/>
                <w:sz w:val="19"/>
                <w:szCs w:val="19"/>
                <w:rtl w:val="0"/>
              </w:rPr>
              <w:t xml:space="preserve"> Gedichte</w:t>
            </w:r>
          </w:p>
          <w:p w:rsidR="00000000" w:rsidDel="00000000" w:rsidP="00000000" w:rsidRDefault="00000000" w:rsidRPr="00000000" w14:paraId="0000008F">
            <w:pPr>
              <w:rPr>
                <w:rFonts w:ascii="Open Sans" w:cs="Open Sans" w:eastAsia="Open Sans" w:hAnsi="Open Sans"/>
                <w:i w:val="1"/>
                <w:color w:val="ed7c31"/>
                <w:sz w:val="19"/>
                <w:szCs w:val="19"/>
              </w:rPr>
            </w:pPr>
            <w:r w:rsidDel="00000000" w:rsidR="00000000" w:rsidRPr="00000000">
              <w:rPr>
                <w:rFonts w:ascii="Open Sans" w:cs="Open Sans" w:eastAsia="Open Sans" w:hAnsi="Open Sans"/>
                <w:i w:val="1"/>
                <w:color w:val="ed7c31"/>
                <w:sz w:val="19"/>
                <w:szCs w:val="19"/>
                <w:rtl w:val="0"/>
              </w:rPr>
              <w:t xml:space="preserve">Primär-wie Sekundärliteratur: Rainer Maria Rilke:...a na ochozech smrt jsi viděl stát. Výběr, doslov a komentáře: Hanuš Karlach, překlady Pavel Eisner, Ladislav Fikar, Jindřich Flusser, Jiří Gruša, Vladimír Holan, Hanuš Karlach, Jan Löwenbach, Jindřich Pokorný, Václav Renč.. Praha 1990.</w:t>
            </w:r>
          </w:p>
          <w:p w:rsidR="00000000" w:rsidDel="00000000" w:rsidP="00000000" w:rsidRDefault="00000000" w:rsidRPr="00000000" w14:paraId="00000090">
            <w:pPr>
              <w:rPr>
                <w:rFonts w:ascii="Open Sans" w:cs="Open Sans" w:eastAsia="Open Sans" w:hAnsi="Open Sans"/>
                <w:i w:val="1"/>
                <w:color w:val="ed7d31"/>
                <w:sz w:val="19"/>
                <w:szCs w:val="19"/>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1">
            <w:pPr>
              <w:numPr>
                <w:ilvl w:val="0"/>
                <w:numId w:val="8"/>
              </w:numPr>
              <w:pBdr>
                <w:top w:space="0" w:sz="0" w:val="nil"/>
                <w:left w:space="0" w:sz="0" w:val="nil"/>
                <w:bottom w:space="0" w:sz="0" w:val="nil"/>
                <w:right w:space="0" w:sz="0" w:val="nil"/>
                <w:between w:space="0" w:sz="0" w:val="nil"/>
              </w:pBdr>
              <w:ind w:left="720" w:hanging="360"/>
              <w:rPr>
                <w:color w:val="ed7d31"/>
                <w:sz w:val="24"/>
                <w:szCs w:val="24"/>
              </w:rPr>
            </w:pPr>
            <w:r w:rsidDel="00000000" w:rsidR="00000000" w:rsidRPr="00000000">
              <w:rPr>
                <w:color w:val="ed7d31"/>
                <w:sz w:val="24"/>
                <w:szCs w:val="24"/>
                <w:rtl w:val="0"/>
              </w:rPr>
              <w:t xml:space="preserve">Naturalistische Dramen als Vorläufer des Volksstücks der 1970er Jahre?</w:t>
            </w:r>
          </w:p>
        </w:tc>
        <w:tc>
          <w:tcPr>
            <w:vAlign w:val="center"/>
          </w:tcPr>
          <w:p w:rsidR="00000000" w:rsidDel="00000000" w:rsidP="00000000" w:rsidRDefault="00000000" w:rsidRPr="00000000" w14:paraId="00000092">
            <w:pPr>
              <w:rPr>
                <w:color w:val="ed7d31"/>
              </w:rPr>
            </w:pPr>
            <w:r w:rsidDel="00000000" w:rsidR="00000000" w:rsidRPr="00000000">
              <w:rPr>
                <w:color w:val="ed7d31"/>
                <w:rtl w:val="0"/>
              </w:rPr>
              <w:t xml:space="preserve">doc. Aleš Urválek</w:t>
            </w:r>
          </w:p>
          <w:p w:rsidR="00000000" w:rsidDel="00000000" w:rsidP="00000000" w:rsidRDefault="00000000" w:rsidRPr="00000000" w14:paraId="00000093">
            <w:pPr>
              <w:rPr>
                <w:rFonts w:ascii="Open Sans" w:cs="Open Sans" w:eastAsia="Open Sans" w:hAnsi="Open Sans"/>
                <w:color w:val="ed7d31"/>
                <w:sz w:val="19"/>
                <w:szCs w:val="19"/>
              </w:rPr>
            </w:pPr>
            <w:r w:rsidDel="00000000" w:rsidR="00000000" w:rsidRPr="00000000">
              <w:rPr>
                <w:rFonts w:ascii="Open Sans" w:cs="Open Sans" w:eastAsia="Open Sans" w:hAnsi="Open Sans"/>
                <w:color w:val="ed7d31"/>
                <w:sz w:val="19"/>
                <w:szCs w:val="19"/>
                <w:rtl w:val="0"/>
              </w:rPr>
              <w:t xml:space="preserve">Vergleich ausgewählter natur. Dramen mit Texten des modernen (west)deutschen Volksstücks (M. Sperr, F. X. Kroetz). Texte stelle ich nach Absprache zur Verfügung </w:t>
            </w:r>
          </w:p>
        </w:tc>
      </w:tr>
    </w:tbl>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Rozsah písemné práce činí 8 – 10 tisíc znaků, z čehož max. 1/3 textu může být citovaná. Nezbytnou součástí práce bude i práce se sekundární literaturou, návrhy na vhodné zdroje budou k dispozici u každého jednotlivého tématu buď ve formě odkazu nebo naskenované literatury.</w:t>
      </w:r>
    </w:p>
    <w:p w:rsidR="00000000" w:rsidDel="00000000" w:rsidP="00000000" w:rsidRDefault="00000000" w:rsidRPr="00000000" w14:paraId="00000097">
      <w:pPr>
        <w:rPr/>
      </w:pPr>
      <w:r w:rsidDel="00000000" w:rsidR="00000000" w:rsidRPr="00000000">
        <w:rPr>
          <w:rtl w:val="0"/>
        </w:rPr>
        <w:t xml:space="preserve">Deadline pro odevzdání práce je</w:t>
      </w:r>
      <w:r w:rsidDel="00000000" w:rsidR="00000000" w:rsidRPr="00000000">
        <w:rPr>
          <w:color w:val="70ad47"/>
          <w:rtl w:val="0"/>
        </w:rPr>
        <w:t xml:space="preserve"> 9.6.2025</w:t>
      </w:r>
      <w:r w:rsidDel="00000000" w:rsidR="00000000" w:rsidRPr="00000000">
        <w:rPr>
          <w:rtl w:val="0"/>
        </w:rPr>
        <w:t xml:space="preserve">. Do konce zkouškového období, tedy do </w:t>
      </w:r>
      <w:r w:rsidDel="00000000" w:rsidR="00000000" w:rsidRPr="00000000">
        <w:rPr>
          <w:color w:val="70ad47"/>
          <w:rtl w:val="0"/>
        </w:rPr>
        <w:t xml:space="preserve">1.7.2025</w:t>
      </w:r>
      <w:r w:rsidDel="00000000" w:rsidR="00000000" w:rsidRPr="00000000">
        <w:rPr>
          <w:rtl w:val="0"/>
        </w:rPr>
        <w:t xml:space="preserve"> bude následovat zpětná vazba od vyučujících předmětu (případně výzva k přepracování textu). </w:t>
      </w:r>
    </w:p>
    <w:p w:rsidR="00000000" w:rsidDel="00000000" w:rsidP="00000000" w:rsidRDefault="00000000" w:rsidRPr="00000000" w14:paraId="00000098">
      <w:pPr>
        <w:rPr/>
      </w:pPr>
      <w:r w:rsidDel="00000000" w:rsidR="00000000" w:rsidRPr="00000000">
        <w:rPr>
          <w:rtl w:val="0"/>
        </w:rPr>
        <w:t xml:space="preserve">Při udělování zápočtu budeme hledět jak na výsledek ústního kolokvia (pozitivní/negativní), tak i písemné práce (pozitivní/negativní). Pro získání zápočtu bude potřeba získat 2x pozitivní výsledek. V hraničních případech zohledníme i Vaši aktivitu ve výuce.</w:t>
      </w:r>
    </w:p>
    <w:p w:rsidR="00000000" w:rsidDel="00000000" w:rsidP="00000000" w:rsidRDefault="00000000" w:rsidRPr="00000000" w14:paraId="00000099">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cs-C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bruecken.ff.cuni.cz/wp-content/uploads/sites/56/2020/11/Stylesheet-Brucken-2020-2.pdf" TargetMode="External"/><Relationship Id="rId8" Type="http://schemas.openxmlformats.org/officeDocument/2006/relationships/hyperlink" Target="http://www.rilke.d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0x01010020A1B037DD1A0E489BA25F0DCD0C6D93</vt:lpwstr>
  </property>
</Properties>
</file>