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15" w:rsidRDefault="001F30BC" w:rsidP="004279D0">
      <w:pPr>
        <w:pStyle w:val="Normlnweb"/>
        <w:spacing w:before="0" w:beforeAutospacing="0" w:after="0"/>
        <w:ind w:right="-57"/>
      </w:pPr>
      <w:proofErr w:type="spellStart"/>
      <w:r w:rsidRPr="00786115">
        <w:rPr>
          <w:b/>
          <w:bCs/>
          <w:sz w:val="30"/>
          <w:szCs w:val="30"/>
          <w:highlight w:val="lightGray"/>
        </w:rPr>
        <w:t>Lucilla</w:t>
      </w:r>
      <w:proofErr w:type="spellEnd"/>
      <w:r w:rsidRPr="00786115">
        <w:rPr>
          <w:b/>
          <w:bCs/>
          <w:sz w:val="30"/>
          <w:szCs w:val="30"/>
          <w:highlight w:val="lightGray"/>
        </w:rPr>
        <w:t xml:space="preserve"> </w:t>
      </w:r>
      <w:proofErr w:type="spellStart"/>
      <w:r w:rsidRPr="00786115">
        <w:rPr>
          <w:b/>
          <w:bCs/>
          <w:sz w:val="30"/>
          <w:szCs w:val="30"/>
          <w:highlight w:val="lightGray"/>
        </w:rPr>
        <w:t>Burnová</w:t>
      </w:r>
      <w:proofErr w:type="spellEnd"/>
      <w:r w:rsidRPr="00786115">
        <w:rPr>
          <w:b/>
          <w:bCs/>
          <w:sz w:val="30"/>
          <w:szCs w:val="30"/>
          <w:highlight w:val="lightGray"/>
        </w:rPr>
        <w:t>:</w:t>
      </w:r>
      <w:r w:rsidRPr="00786115">
        <w:rPr>
          <w:sz w:val="30"/>
          <w:szCs w:val="30"/>
          <w:highlight w:val="lightGray"/>
        </w:rPr>
        <w:t xml:space="preserve"> </w:t>
      </w:r>
      <w:r w:rsidRPr="00786115">
        <w:rPr>
          <w:b/>
          <w:bCs/>
          <w:sz w:val="30"/>
          <w:szCs w:val="30"/>
          <w:highlight w:val="lightGray"/>
        </w:rPr>
        <w:t>Řecké mýty</w:t>
      </w:r>
      <w:r w:rsidRPr="00786115">
        <w:rPr>
          <w:highlight w:val="lightGray"/>
        </w:rPr>
        <w:t>.</w:t>
      </w:r>
      <w:r w:rsidRPr="004279D0">
        <w:t xml:space="preserve"> </w:t>
      </w:r>
    </w:p>
    <w:p w:rsidR="001F30BC" w:rsidRDefault="001F30BC" w:rsidP="004279D0">
      <w:pPr>
        <w:pStyle w:val="Normlnweb"/>
        <w:spacing w:before="0" w:beforeAutospacing="0" w:after="0"/>
        <w:ind w:right="-57"/>
      </w:pPr>
      <w:commentRangeStart w:id="0"/>
      <w:r w:rsidRPr="004279D0">
        <w:t xml:space="preserve">Lidové </w:t>
      </w:r>
      <w:commentRangeEnd w:id="0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 w:rsidRPr="004279D0">
        <w:t>noviny, 1999; 192 s. ISBN: 80-7106-220-0</w:t>
      </w:r>
    </w:p>
    <w:p w:rsidR="00F10134" w:rsidRDefault="00F10134" w:rsidP="004279D0">
      <w:pPr>
        <w:pStyle w:val="Normlnweb"/>
        <w:spacing w:before="0" w:beforeAutospacing="0" w:after="0"/>
        <w:ind w:right="-57"/>
      </w:pPr>
    </w:p>
    <w:p w:rsidR="001F30BC" w:rsidRPr="00F10134" w:rsidRDefault="001F30BC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  <w:r w:rsidRPr="00F10134">
        <w:rPr>
          <w:i/>
          <w:sz w:val="20"/>
          <w:szCs w:val="20"/>
        </w:rPr>
        <w:t xml:space="preserve">(z anglického originálu </w:t>
      </w:r>
      <w:proofErr w:type="spellStart"/>
      <w:r w:rsidRPr="00F10134">
        <w:rPr>
          <w:i/>
          <w:sz w:val="20"/>
          <w:szCs w:val="20"/>
        </w:rPr>
        <w:t>Greek</w:t>
      </w:r>
      <w:proofErr w:type="spellEnd"/>
      <w:r w:rsidRPr="00F10134">
        <w:rPr>
          <w:i/>
          <w:sz w:val="20"/>
          <w:szCs w:val="20"/>
        </w:rPr>
        <w:t xml:space="preserve"> </w:t>
      </w:r>
      <w:proofErr w:type="spellStart"/>
      <w:r w:rsidRPr="00F10134">
        <w:rPr>
          <w:i/>
          <w:sz w:val="20"/>
          <w:szCs w:val="20"/>
        </w:rPr>
        <w:t>myths</w:t>
      </w:r>
      <w:proofErr w:type="spellEnd"/>
      <w:r w:rsidRPr="00F10134">
        <w:rPr>
          <w:i/>
          <w:sz w:val="20"/>
          <w:szCs w:val="20"/>
        </w:rPr>
        <w:t xml:space="preserve">, </w:t>
      </w:r>
      <w:proofErr w:type="spellStart"/>
      <w:r w:rsidRPr="00F10134">
        <w:rPr>
          <w:i/>
          <w:sz w:val="20"/>
          <w:szCs w:val="20"/>
        </w:rPr>
        <w:t>British</w:t>
      </w:r>
      <w:proofErr w:type="spellEnd"/>
      <w:r w:rsidRPr="00F10134">
        <w:rPr>
          <w:i/>
          <w:sz w:val="20"/>
          <w:szCs w:val="20"/>
        </w:rPr>
        <w:t xml:space="preserve"> Museum </w:t>
      </w:r>
      <w:proofErr w:type="spellStart"/>
      <w:r w:rsidRPr="00F10134">
        <w:rPr>
          <w:i/>
          <w:sz w:val="20"/>
          <w:szCs w:val="20"/>
        </w:rPr>
        <w:t>Press</w:t>
      </w:r>
      <w:proofErr w:type="spellEnd"/>
      <w:r w:rsidRPr="00F10134">
        <w:rPr>
          <w:i/>
          <w:sz w:val="20"/>
          <w:szCs w:val="20"/>
        </w:rPr>
        <w:t>, London 1995)</w:t>
      </w:r>
    </w:p>
    <w:p w:rsidR="00786115" w:rsidRDefault="00786115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  <w:r w:rsidRPr="00F10134">
        <w:rPr>
          <w:i/>
          <w:sz w:val="20"/>
          <w:szCs w:val="20"/>
        </w:rPr>
        <w:t xml:space="preserve">Vypracovala Veronika </w:t>
      </w:r>
      <w:proofErr w:type="spellStart"/>
      <w:r w:rsidRPr="00F10134">
        <w:rPr>
          <w:i/>
          <w:sz w:val="20"/>
          <w:szCs w:val="20"/>
        </w:rPr>
        <w:t>Šodková</w:t>
      </w:r>
      <w:proofErr w:type="spellEnd"/>
      <w:r w:rsidRPr="00F10134">
        <w:rPr>
          <w:i/>
          <w:sz w:val="20"/>
          <w:szCs w:val="20"/>
        </w:rPr>
        <w:t xml:space="preserve"> (FF MU Brno 2012, UČO: 415580)</w:t>
      </w:r>
    </w:p>
    <w:p w:rsidR="00F10134" w:rsidRPr="00F10134" w:rsidRDefault="00F10134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</w:p>
    <w:p w:rsidR="001F30BC" w:rsidRPr="009F45E2" w:rsidRDefault="001F30BC" w:rsidP="009F45E2">
      <w:pPr>
        <w:pStyle w:val="Normlnweb"/>
        <w:spacing w:before="0" w:beforeAutospacing="0" w:after="0"/>
        <w:ind w:right="-57" w:firstLine="708"/>
        <w:rPr>
          <w:i/>
          <w:iCs/>
        </w:rPr>
      </w:pPr>
      <w:r w:rsidRPr="009F45E2">
        <w:t xml:space="preserve">Autorka knihy je kurátorkou Britského muzea v Londýně, kde se specializuje na antické vázy a terakoty, kromě toho také hojně přednáší a vydává odborné články, kromě knihy, zmiňované v této recenzi, jí vyšla i monografie o </w:t>
      </w:r>
      <w:proofErr w:type="spellStart"/>
      <w:r w:rsidRPr="009F45E2">
        <w:t>červenofigurovém</w:t>
      </w:r>
      <w:proofErr w:type="spellEnd"/>
      <w:r w:rsidRPr="009F45E2">
        <w:t xml:space="preserve"> malíři </w:t>
      </w:r>
      <w:proofErr w:type="spellStart"/>
      <w:r w:rsidRPr="009F45E2">
        <w:t>Meidiovi</w:t>
      </w:r>
      <w:proofErr w:type="spellEnd"/>
      <w:r w:rsidRPr="009F45E2">
        <w:t xml:space="preserve">, </w:t>
      </w:r>
      <w:proofErr w:type="spellStart"/>
      <w:r w:rsidRPr="009F45E2">
        <w:rPr>
          <w:i/>
          <w:iCs/>
        </w:rPr>
        <w:t>The</w:t>
      </w:r>
      <w:proofErr w:type="spellEnd"/>
      <w:r w:rsidRPr="009F45E2">
        <w:rPr>
          <w:i/>
          <w:iCs/>
        </w:rPr>
        <w:t xml:space="preserve"> </w:t>
      </w:r>
      <w:proofErr w:type="spellStart"/>
      <w:r w:rsidRPr="009F45E2">
        <w:rPr>
          <w:i/>
          <w:iCs/>
        </w:rPr>
        <w:t>Meidias</w:t>
      </w:r>
      <w:proofErr w:type="spellEnd"/>
      <w:r w:rsidRPr="009F45E2">
        <w:rPr>
          <w:i/>
          <w:iCs/>
        </w:rPr>
        <w:t xml:space="preserve"> </w:t>
      </w:r>
      <w:proofErr w:type="spellStart"/>
      <w:r w:rsidRPr="009F45E2">
        <w:rPr>
          <w:i/>
          <w:iCs/>
        </w:rPr>
        <w:t>painter</w:t>
      </w:r>
      <w:proofErr w:type="spellEnd"/>
      <w:r w:rsidRPr="009F45E2">
        <w:rPr>
          <w:i/>
          <w:iCs/>
        </w:rPr>
        <w:t xml:space="preserve"> (Oxford, 1987).</w:t>
      </w:r>
    </w:p>
    <w:p w:rsidR="004279D0" w:rsidRPr="004279D0" w:rsidRDefault="004279D0" w:rsidP="004279D0">
      <w:pPr>
        <w:pStyle w:val="Normlnweb"/>
        <w:spacing w:before="0" w:beforeAutospacing="0" w:after="0"/>
        <w:ind w:right="-57"/>
        <w:rPr>
          <w:i/>
          <w:iCs/>
          <w:sz w:val="20"/>
          <w:szCs w:val="20"/>
        </w:rPr>
      </w:pPr>
    </w:p>
    <w:p w:rsidR="004279D0" w:rsidRDefault="001F30BC" w:rsidP="004279D0">
      <w:pPr>
        <w:pStyle w:val="Normlnweb"/>
        <w:spacing w:before="0" w:beforeAutospacing="0" w:after="0"/>
        <w:ind w:right="-57"/>
        <w:rPr>
          <w:bCs/>
          <w:i/>
          <w:sz w:val="20"/>
          <w:szCs w:val="20"/>
        </w:rPr>
      </w:pPr>
      <w:proofErr w:type="gramStart"/>
      <w:r w:rsidRPr="004279D0">
        <w:rPr>
          <w:i/>
        </w:rPr>
        <w:t xml:space="preserve">„ </w:t>
      </w:r>
      <w:r w:rsidRPr="004279D0">
        <w:rPr>
          <w:b/>
          <w:bCs/>
          <w:i/>
        </w:rPr>
        <w:t>...řecká</w:t>
      </w:r>
      <w:proofErr w:type="gramEnd"/>
      <w:r w:rsidRPr="004279D0">
        <w:rPr>
          <w:b/>
          <w:bCs/>
          <w:i/>
        </w:rPr>
        <w:t xml:space="preserve"> civilizace tvoří základ západní společnosti a studium řecké kultury bylo ještě donedávna značně důležitou součástí vzdělávacích systémů západního světa...“  </w:t>
      </w:r>
      <w:r w:rsidRPr="004279D0">
        <w:rPr>
          <w:bCs/>
          <w:i/>
          <w:sz w:val="20"/>
          <w:szCs w:val="20"/>
        </w:rPr>
        <w:t>(str. 102)</w:t>
      </w:r>
    </w:p>
    <w:p w:rsidR="009F45E2" w:rsidRPr="00F10134" w:rsidRDefault="009F45E2" w:rsidP="004279D0">
      <w:pPr>
        <w:pStyle w:val="Normlnweb"/>
        <w:spacing w:before="0" w:beforeAutospacing="0" w:after="0"/>
        <w:ind w:right="-57"/>
      </w:pPr>
      <w:commentRangeStart w:id="1"/>
      <w:r w:rsidRPr="00F10134">
        <w:rPr>
          <w:bCs/>
          <w:sz w:val="20"/>
          <w:szCs w:val="20"/>
        </w:rPr>
        <w:t>----------------------------------------------------------------------------------------------------------------------------------------</w:t>
      </w:r>
      <w:commentRangeEnd w:id="1"/>
      <w:r w:rsidR="00FC6165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</w:p>
    <w:p w:rsidR="004279D0" w:rsidRDefault="004279D0" w:rsidP="004279D0">
      <w:pPr>
        <w:pStyle w:val="Normlnweb"/>
        <w:spacing w:before="0" w:beforeAutospacing="0" w:after="0"/>
        <w:ind w:right="-57"/>
      </w:pPr>
    </w:p>
    <w:p w:rsidR="004279D0" w:rsidRPr="004279D0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Knížka nás seznamuje s přibližně dvaceti příběhy, </w:t>
      </w:r>
      <w:proofErr w:type="spellStart"/>
      <w:r w:rsidRPr="004279D0">
        <w:t>tématick</w:t>
      </w:r>
      <w:r w:rsidR="00405BC5">
        <w:t>y</w:t>
      </w:r>
      <w:proofErr w:type="spellEnd"/>
      <w:r w:rsidR="00405BC5">
        <w:t xml:space="preserve"> členěnými do sedmi</w:t>
      </w:r>
      <w:r w:rsidRPr="004279D0">
        <w:t xml:space="preserve"> okruhů (</w:t>
      </w:r>
      <w:proofErr w:type="spellStart"/>
      <w:r w:rsidRPr="004279D0">
        <w:t>Hérakleovy</w:t>
      </w:r>
      <w:proofErr w:type="spellEnd"/>
      <w:r w:rsidRPr="004279D0">
        <w:t xml:space="preserve"> práce; Théseus z Athén; Trójská válka; Příběh Odysseův; </w:t>
      </w:r>
      <w:proofErr w:type="spellStart"/>
      <w:r w:rsidRPr="004279D0">
        <w:t>Iásón</w:t>
      </w:r>
      <w:proofErr w:type="spellEnd"/>
      <w:r w:rsidRPr="004279D0">
        <w:t xml:space="preserve">, Médeia a zlaté rouno; Perseus a </w:t>
      </w:r>
      <w:proofErr w:type="spellStart"/>
      <w:r w:rsidRPr="004279D0">
        <w:t>Medúsa</w:t>
      </w:r>
      <w:proofErr w:type="spellEnd"/>
      <w:r w:rsidRPr="004279D0">
        <w:t xml:space="preserve">; </w:t>
      </w:r>
      <w:proofErr w:type="spellStart"/>
      <w:r w:rsidRPr="004279D0">
        <w:t>Oidipús</w:t>
      </w:r>
      <w:proofErr w:type="spellEnd"/>
      <w:r w:rsidRPr="004279D0">
        <w:t xml:space="preserve"> a thébský cyklus).</w:t>
      </w:r>
    </w:p>
    <w:p w:rsidR="001F30BC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Jak </w:t>
      </w:r>
      <w:proofErr w:type="spellStart"/>
      <w:r w:rsidRPr="004279D0">
        <w:t>Burnová</w:t>
      </w:r>
      <w:proofErr w:type="spellEnd"/>
      <w:r w:rsidRPr="004279D0">
        <w:t xml:space="preserve"> sama uvádí, její výběr je mírně subjektivní, z velkého množství dochovaných vyprávění se ale snažila vybrat ty nejdůležitější a nejzajímavější </w:t>
      </w:r>
      <w:r w:rsidRPr="004279D0">
        <w:rPr>
          <w:i/>
          <w:iCs/>
          <w:sz w:val="20"/>
          <w:szCs w:val="20"/>
        </w:rPr>
        <w:t>(viz Autorčina poznámka, str. 112).</w:t>
      </w:r>
      <w:r w:rsidRPr="004279D0">
        <w:t xml:space="preserve"> </w:t>
      </w:r>
      <w:commentRangeStart w:id="2"/>
      <w:r w:rsidRPr="004279D0">
        <w:t>Myslím, že se jí to docela povedlo.</w:t>
      </w:r>
      <w:commentRangeEnd w:id="2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</w:p>
    <w:p w:rsidR="004279D0" w:rsidRPr="004279D0" w:rsidRDefault="004279D0" w:rsidP="004279D0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Nejde ale jen o převyprávění příběhů, autorčin záměr byl zřejmě přimět </w:t>
      </w:r>
      <w:commentRangeStart w:id="3"/>
      <w:r w:rsidRPr="004279D0">
        <w:t xml:space="preserve">nás </w:t>
      </w:r>
      <w:commentRangeEnd w:id="3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 w:rsidRPr="004279D0">
        <w:t xml:space="preserve">k tomu, abychom si uvědomili význam mýtů pro tehdejší řeckou společnost (ale nejen pro ni), jak naznačuje již v úvodu na příběhu o Persefoně, která se proti své vůli musí provdat za vlastního strýce Háda. </w:t>
      </w:r>
    </w:p>
    <w:p w:rsidR="001F30BC" w:rsidRPr="004279D0" w:rsidRDefault="001F30BC" w:rsidP="00405BC5">
      <w:pPr>
        <w:pStyle w:val="Normlnweb"/>
        <w:spacing w:before="0" w:beforeAutospacing="0" w:after="0"/>
        <w:ind w:right="-57" w:firstLine="708"/>
      </w:pPr>
      <w:commentRangeStart w:id="4"/>
      <w:r w:rsidRPr="004279D0">
        <w:t xml:space="preserve">- </w:t>
      </w:r>
      <w:commentRangeEnd w:id="4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Pr="004279D0">
        <w:t>Na domluvě s rodiči, že v podsvětí musí zůstat alespoň 1 čtvrtinu roku je například vidět nejen to, jak si staří Řekové zdůvodňovali střídání úrodných měsíců (kdy je Persefona ve světě živých) s těmi neúrodnými, ale také částečně smutný rituál svatby, kdy se dívka musí odpoutat od rodiny a stát se tak ženou.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Pr="004279D0">
        <w:rPr>
          <w:i/>
          <w:iCs/>
          <w:sz w:val="20"/>
          <w:szCs w:val="20"/>
        </w:rPr>
        <w:t xml:space="preserve">Podobně jako Persefonin sestup do světa mrtvých, z něhož vychází už jako manželka, byla řecká svatba iniciačním obřadem, k němuž patřilo oddělení dívky od vlastní rodiny, zasvěcení do povinností manželky a poté opětné začlenění do společnosti, kde se směla znovu stýkat s vlastními příbuznými, ale </w:t>
      </w:r>
      <w:r w:rsidR="00405BC5">
        <w:rPr>
          <w:i/>
          <w:iCs/>
          <w:sz w:val="20"/>
          <w:szCs w:val="20"/>
        </w:rPr>
        <w:t xml:space="preserve">už v odlišném postavení.“ </w:t>
      </w:r>
      <w:commentRangeStart w:id="5"/>
      <w:r w:rsidR="00405BC5">
        <w:rPr>
          <w:i/>
          <w:iCs/>
          <w:sz w:val="20"/>
          <w:szCs w:val="20"/>
        </w:rPr>
        <w:t xml:space="preserve">str. </w:t>
      </w:r>
      <w:r w:rsidRPr="004279D0">
        <w:rPr>
          <w:i/>
          <w:iCs/>
          <w:sz w:val="20"/>
          <w:szCs w:val="20"/>
        </w:rPr>
        <w:t>10</w:t>
      </w:r>
      <w:commentRangeEnd w:id="5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405BC5" w:rsidRPr="004279D0" w:rsidRDefault="001F30BC" w:rsidP="00405BC5">
      <w:pPr>
        <w:pStyle w:val="Normlnweb"/>
        <w:spacing w:before="0" w:beforeAutospacing="0" w:after="0"/>
        <w:ind w:right="-57" w:firstLine="708"/>
      </w:pPr>
      <w:r w:rsidRPr="004279D0">
        <w:t xml:space="preserve">Témata z oblasti mytologie se ale promítala i do života řecké společnosti jako takové (recitace hymnů na dané bohy při svátcích, předvádění jejich činů na divadelních představeních aj.) </w:t>
      </w:r>
      <w:commentRangeStart w:id="6"/>
      <w:r w:rsidRPr="004279D0">
        <w:t>-</w:t>
      </w:r>
      <w:commentRangeEnd w:id="6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Pr="004279D0">
        <w:t xml:space="preserve"> Ukazuje se, že Řekové se s mýty setkávali téměř denně, byly pro ně zdrojem poučení i zábavy, jejich recitace se učila na školách, existovali i profesionální vypravěči mýtů.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Pr="004279D0">
        <w:rPr>
          <w:i/>
          <w:iCs/>
          <w:sz w:val="20"/>
          <w:szCs w:val="20"/>
        </w:rPr>
        <w:t xml:space="preserve">V Athénách 5. století před naším letopočtem by kniha o mýtech nenašla odbyt, Řekové totiž mýty nevykazovali do jakési oddělené oblasti života.“ </w:t>
      </w:r>
      <w:r w:rsidR="004279D0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101</w:t>
      </w:r>
      <w:r w:rsidR="004279D0">
        <w:rPr>
          <w:i/>
          <w:iCs/>
          <w:sz w:val="20"/>
          <w:szCs w:val="20"/>
        </w:rPr>
        <w:t>)</w:t>
      </w:r>
      <w:commentRangeStart w:id="7"/>
      <w:r w:rsidRPr="004279D0">
        <w:rPr>
          <w:i/>
          <w:iCs/>
          <w:sz w:val="20"/>
          <w:szCs w:val="20"/>
        </w:rPr>
        <w:t xml:space="preserve"> </w:t>
      </w:r>
      <w:r w:rsidRPr="00F10134">
        <w:rPr>
          <w:rStyle w:val="Znakapoznpodarou"/>
          <w:i/>
          <w:iCs/>
          <w:sz w:val="20"/>
          <w:szCs w:val="20"/>
          <w:highlight w:val="lightGray"/>
        </w:rPr>
        <w:footnoteReference w:id="1"/>
      </w:r>
      <w:commentRangeEnd w:id="7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</w:p>
    <w:p w:rsidR="001F30BC" w:rsidRPr="004279D0" w:rsidRDefault="001F30BC" w:rsidP="004279D0">
      <w:pPr>
        <w:pStyle w:val="Normlnweb"/>
        <w:spacing w:before="0" w:beforeAutospacing="0" w:after="0"/>
        <w:ind w:right="-57" w:firstLine="708"/>
      </w:pPr>
      <w:commentRangeStart w:id="8"/>
      <w:r w:rsidRPr="004279D0">
        <w:t>-</w:t>
      </w:r>
      <w:commentRangeEnd w:id="8"/>
      <w:r w:rsidR="009A292A">
        <w:rPr>
          <w:rStyle w:val="Odkaznakoment"/>
          <w:rFonts w:asciiTheme="minorHAnsi" w:eastAsiaTheme="minorHAnsi" w:hAnsiTheme="minorHAnsi" w:cstheme="minorBidi"/>
          <w:lang w:eastAsia="en-US"/>
        </w:rPr>
        <w:commentReference w:id="8"/>
      </w:r>
      <w:r w:rsidRPr="004279D0">
        <w:t xml:space="preserve"> Není se proto čemu divit, že tato tématika ovlivnila nejen poezii, ale také malířství, sochařství i jiné formy umění. Kniha nás proto seznamuje s ukázkami předmětů denní potřeby (kromě vázových maleb také mince, reliéfy, sochy a rytiny, určené k uctívání), na kterých si můžeme prohlédnout vyobrazení daných bohů, včetně popisů jejich atributů.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 w:firstLine="708"/>
      </w:pPr>
      <w:r w:rsidRPr="004279D0">
        <w:lastRenderedPageBreak/>
        <w:t xml:space="preserve">Řecké mýty jsou obecně vnímány jako poučné příběhy z </w:t>
      </w:r>
      <w:commentRangeStart w:id="9"/>
      <w:r w:rsidRPr="004279D0">
        <w:t xml:space="preserve">jejich </w:t>
      </w:r>
      <w:commentRangeEnd w:id="9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9"/>
      </w:r>
      <w:r w:rsidRPr="004279D0">
        <w:t>života, dávající nám příklad pro vlastní chování- nejen k výchově dětí, ale i pro pobavení a poučení dospělých, přičemž bohové mívají často i špatné lidské vlastnosti, jako je závist, h</w:t>
      </w:r>
      <w:r w:rsidR="00405BC5">
        <w:t>ašteřivost, marnotratnost apod. Tyto skut</w:t>
      </w:r>
      <w:r w:rsidR="00F94710">
        <w:t xml:space="preserve">ečnosti je pomáhají přibližovat </w:t>
      </w:r>
      <w:r w:rsidRPr="004279D0">
        <w:t>běžným smrtelníkům.</w:t>
      </w:r>
    </w:p>
    <w:p w:rsidR="00405BC5" w:rsidRPr="004279D0" w:rsidRDefault="00405BC5" w:rsidP="004279D0">
      <w:pPr>
        <w:pStyle w:val="Normlnweb"/>
        <w:spacing w:before="0" w:beforeAutospacing="0" w:after="0"/>
        <w:ind w:right="-57" w:firstLine="708"/>
      </w:pPr>
    </w:p>
    <w:p w:rsidR="001F30BC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="00405BC5">
        <w:rPr>
          <w:i/>
          <w:iCs/>
          <w:sz w:val="20"/>
          <w:szCs w:val="20"/>
        </w:rPr>
        <w:t>V</w:t>
      </w:r>
      <w:r w:rsidRPr="004279D0">
        <w:rPr>
          <w:i/>
          <w:iCs/>
          <w:sz w:val="20"/>
          <w:szCs w:val="20"/>
        </w:rPr>
        <w:t xml:space="preserve">e většině řeckých mýtů však hrají větší úlohu </w:t>
      </w:r>
      <w:proofErr w:type="spellStart"/>
      <w:r w:rsidRPr="004279D0">
        <w:rPr>
          <w:i/>
          <w:iCs/>
          <w:sz w:val="20"/>
          <w:szCs w:val="20"/>
        </w:rPr>
        <w:t>héróové</w:t>
      </w:r>
      <w:proofErr w:type="spellEnd"/>
      <w:r w:rsidRPr="004279D0">
        <w:rPr>
          <w:i/>
          <w:iCs/>
          <w:sz w:val="20"/>
          <w:szCs w:val="20"/>
        </w:rPr>
        <w:t xml:space="preserve"> (a </w:t>
      </w:r>
      <w:proofErr w:type="spellStart"/>
      <w:r w:rsidRPr="004279D0">
        <w:rPr>
          <w:i/>
          <w:iCs/>
          <w:sz w:val="20"/>
          <w:szCs w:val="20"/>
        </w:rPr>
        <w:t>héroiny</w:t>
      </w:r>
      <w:proofErr w:type="spellEnd"/>
      <w:r w:rsidRPr="004279D0">
        <w:rPr>
          <w:i/>
          <w:iCs/>
          <w:sz w:val="20"/>
          <w:szCs w:val="20"/>
        </w:rPr>
        <w:t xml:space="preserve">). Řekové žijící v historických dobách se rádi domnívali, že jejich vlastní době předcházel věk </w:t>
      </w:r>
      <w:proofErr w:type="spellStart"/>
      <w:r w:rsidRPr="004279D0">
        <w:rPr>
          <w:i/>
          <w:iCs/>
          <w:sz w:val="20"/>
          <w:szCs w:val="20"/>
        </w:rPr>
        <w:t>héróů</w:t>
      </w:r>
      <w:proofErr w:type="spellEnd"/>
      <w:r w:rsidRPr="004279D0">
        <w:rPr>
          <w:i/>
          <w:iCs/>
          <w:sz w:val="20"/>
          <w:szCs w:val="20"/>
        </w:rPr>
        <w:t>.“</w:t>
      </w:r>
      <w:commentRangeStart w:id="10"/>
      <w:r w:rsidRPr="004279D0">
        <w:rPr>
          <w:i/>
          <w:iCs/>
          <w:sz w:val="20"/>
          <w:szCs w:val="20"/>
        </w:rPr>
        <w:t xml:space="preserve"> </w:t>
      </w:r>
      <w:r w:rsidR="00405BC5" w:rsidRPr="00405BC5">
        <w:rPr>
          <w:rStyle w:val="Znakapoznpodarou"/>
          <w:i/>
          <w:iCs/>
          <w:sz w:val="20"/>
          <w:szCs w:val="20"/>
          <w:highlight w:val="lightGray"/>
        </w:rPr>
        <w:footnoteReference w:id="2"/>
      </w:r>
      <w:commentRangeEnd w:id="10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0"/>
      </w:r>
    </w:p>
    <w:p w:rsidR="00405BC5" w:rsidRPr="004279D0" w:rsidRDefault="00405BC5" w:rsidP="004279D0">
      <w:pPr>
        <w:pStyle w:val="Normlnweb"/>
        <w:spacing w:before="0" w:beforeAutospacing="0" w:after="0"/>
        <w:ind w:right="-57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Přesto je pro orientaci v mýtech nutné seznámit se s </w:t>
      </w:r>
      <w:r w:rsidRPr="004279D0">
        <w:rPr>
          <w:b/>
          <w:bCs/>
        </w:rPr>
        <w:t>rodokmenem bohů</w:t>
      </w:r>
      <w:r w:rsidRPr="004279D0">
        <w:t xml:space="preserve"> </w:t>
      </w:r>
      <w:r w:rsidRPr="004279D0">
        <w:rPr>
          <w:i/>
          <w:iCs/>
          <w:sz w:val="20"/>
          <w:szCs w:val="20"/>
        </w:rPr>
        <w:t>(</w:t>
      </w:r>
      <w:r w:rsidR="009F45E2">
        <w:rPr>
          <w:i/>
          <w:iCs/>
          <w:sz w:val="20"/>
          <w:szCs w:val="20"/>
        </w:rPr>
        <w:t>str.</w:t>
      </w:r>
      <w:r w:rsidRPr="004279D0">
        <w:rPr>
          <w:i/>
          <w:iCs/>
          <w:sz w:val="20"/>
          <w:szCs w:val="20"/>
        </w:rPr>
        <w:t xml:space="preserve"> 14-19</w:t>
      </w:r>
      <w:r w:rsidRPr="00F10134">
        <w:rPr>
          <w:i/>
          <w:iCs/>
          <w:sz w:val="20"/>
          <w:szCs w:val="20"/>
          <w:highlight w:val="lightGray"/>
        </w:rPr>
        <w:t>)</w:t>
      </w:r>
      <w:commentRangeStart w:id="11"/>
      <w:r w:rsidRPr="00F10134">
        <w:rPr>
          <w:rStyle w:val="Znakapoznpodarou"/>
          <w:i/>
          <w:iCs/>
          <w:sz w:val="20"/>
          <w:szCs w:val="20"/>
          <w:highlight w:val="lightGray"/>
        </w:rPr>
        <w:footnoteReference w:id="3"/>
      </w:r>
      <w:r w:rsidRPr="004279D0">
        <w:rPr>
          <w:i/>
          <w:iCs/>
          <w:sz w:val="20"/>
          <w:szCs w:val="20"/>
        </w:rPr>
        <w:t xml:space="preserve"> </w:t>
      </w:r>
      <w:commentRangeEnd w:id="11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1"/>
      </w:r>
      <w:r w:rsidRPr="004279D0">
        <w:rPr>
          <w:i/>
          <w:iCs/>
          <w:sz w:val="20"/>
          <w:szCs w:val="20"/>
        </w:rPr>
        <w:t xml:space="preserve">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Další kapitoly se už věnují jednotlivým příběhům, autorka se vždy snaží přiblížit čtenáři svět lidí, kteří „věřili“ jejich pravdivosti a snažili se s jejich pomocí dosáhnout osobní harmonie a plnohodnotného života. </w:t>
      </w:r>
      <w:commentRangeStart w:id="12"/>
      <w:r w:rsidRPr="004279D0">
        <w:rPr>
          <w:b/>
          <w:bCs/>
          <w:sz w:val="20"/>
          <w:szCs w:val="20"/>
        </w:rPr>
        <w:t xml:space="preserve">(vymezení pojmů víra/ náboženská víra a pohled na mýty jako součást historie- </w:t>
      </w:r>
      <w:commentRangeEnd w:id="12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2"/>
      </w:r>
      <w:r w:rsidRPr="004279D0">
        <w:rPr>
          <w:i/>
          <w:iCs/>
          <w:sz w:val="20"/>
          <w:szCs w:val="20"/>
        </w:rPr>
        <w:t>viz str. 101</w:t>
      </w:r>
      <w:r w:rsidRPr="004279D0">
        <w:rPr>
          <w:b/>
          <w:bCs/>
          <w:sz w:val="20"/>
          <w:szCs w:val="20"/>
        </w:rPr>
        <w:t>)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/>
        <w:rPr>
          <w:b/>
          <w:bCs/>
        </w:rPr>
      </w:pPr>
      <w:r w:rsidRPr="00786115">
        <w:rPr>
          <w:b/>
          <w:bCs/>
          <w:highlight w:val="lightGray"/>
        </w:rPr>
        <w:t>Kapitoly</w:t>
      </w:r>
    </w:p>
    <w:p w:rsidR="00786115" w:rsidRDefault="00786115" w:rsidP="004279D0">
      <w:pPr>
        <w:pStyle w:val="Normlnweb"/>
        <w:spacing w:before="0" w:beforeAutospacing="0" w:after="0"/>
        <w:ind w:right="-57"/>
        <w:rPr>
          <w:b/>
          <w:bCs/>
        </w:rPr>
      </w:pPr>
    </w:p>
    <w:p w:rsidR="001F30BC" w:rsidRDefault="001F30BC" w:rsidP="00786115">
      <w:pPr>
        <w:pStyle w:val="Normlnweb"/>
        <w:spacing w:before="0" w:beforeAutospacing="0" w:after="0"/>
        <w:ind w:right="-57" w:firstLine="708"/>
        <w:rPr>
          <w:i/>
          <w:iCs/>
          <w:sz w:val="20"/>
          <w:szCs w:val="20"/>
        </w:rPr>
      </w:pPr>
      <w:proofErr w:type="spellStart"/>
      <w:r w:rsidRPr="00F10134">
        <w:rPr>
          <w:b/>
          <w:i/>
          <w:sz w:val="26"/>
          <w:szCs w:val="26"/>
        </w:rPr>
        <w:t>Hérákleovy</w:t>
      </w:r>
      <w:proofErr w:type="spellEnd"/>
      <w:r w:rsidRPr="00F10134">
        <w:rPr>
          <w:b/>
          <w:i/>
          <w:sz w:val="26"/>
          <w:szCs w:val="26"/>
        </w:rPr>
        <w:t xml:space="preserve"> práce</w:t>
      </w:r>
      <w:r w:rsidRPr="009F45E2">
        <w:t xml:space="preserve"> </w:t>
      </w:r>
      <w:r w:rsidRPr="009F45E2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20- 31)</w:t>
      </w:r>
      <w:r w:rsidR="00F10134">
        <w:rPr>
          <w:i/>
          <w:iCs/>
          <w:sz w:val="20"/>
          <w:szCs w:val="20"/>
        </w:rPr>
        <w:t xml:space="preserve"> </w:t>
      </w:r>
      <w:r w:rsidR="00CA29F3">
        <w:rPr>
          <w:i/>
          <w:iCs/>
          <w:sz w:val="20"/>
          <w:szCs w:val="20"/>
        </w:rPr>
        <w:t xml:space="preserve"> </w:t>
      </w:r>
    </w:p>
    <w:p w:rsidR="00597365" w:rsidRDefault="00597365" w:rsidP="005973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commentRangeStart w:id="13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Prvních 6 prací se odehrává na Peloponésu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(zabití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nemejského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lva, lernské hydry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„zatavování“ hlav- pomoc syna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Ioláa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chycení divokého kance a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kerymejské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laně 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(zapůjčené Artemidou),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zabití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stymfálských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ptáků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provedení tohoto úkolu se v různých zdrojích liší, čištění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„Augiášova chléva“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-důvtip- Athéna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zbytek pak mimo něj: musel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chytit divokého býka z Kréty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(zůstal živý- zabil ho až Théseus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), přivést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Diomédovy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lidožravé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koně z Thrákie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(dal jim sežrat krutého pána, čímž je zkrotil), z oblasti Černého moře měl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přinést pás královny Amazonek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rozšířila pověsti o tom, 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Hérákles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 královnu unést, což vedlo ke krvavým bojům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(H. ho neměla ráda- nemanželský syn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Dia) 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commentRangeEnd w:id="13"/>
      <w:r w:rsidR="00F94710">
        <w:rPr>
          <w:rStyle w:val="Odkaznakoment"/>
        </w:rPr>
        <w:commentReference w:id="13"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7365" w:rsidRP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Poslední tři úkoly hrdina plní mimo Řecko. Z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Erytheie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přivést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Géryonovo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stádo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červených krav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(velmi náročný úkol), dále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měl přivést Kerbera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sehnat zlatá jablka věčného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mládí ze zahrady Hesperidek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konci světa (také existuje několik verzí o provedení tohoto úkolu, každopádně právě tato jablka mu zajistila jeho nesmrtelnost). </w:t>
      </w:r>
    </w:p>
    <w:p w:rsidR="00597365" w:rsidRDefault="00597365" w:rsidP="0059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365" w:rsidRP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oddaný přítel (zápasil se smrtí za manželku krále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Adméta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- oběť), občas trochu unáhlený milovník vína, jídla i žen- není se proto čemu divit, že se mezi lidmi těšil velké oblibě, jeho příběhy byly inspirativní téměř pro všechny obyvatele tehdejšího světa (dokázal bojovat se smrtí, byl „superhrdinou“).</w:t>
      </w:r>
    </w:p>
    <w:p w:rsidR="00597365" w:rsidRDefault="00597365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Zemřel ale neslavně- byl otráven vlastní ženou (odplata kentaura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Nessa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307649" w:rsidRPr="00597365" w:rsidRDefault="00307649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365" w:rsidRPr="00597365" w:rsidRDefault="00597365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Zajímavé je, 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Eurystheos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(zadavatel úkolů) bývá často vyobrazován v situaci, kdy se schovává ve velké nádobě před stvořeními, která mu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Héráklés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jeho popud nosí.</w:t>
      </w:r>
    </w:p>
    <w:p w:rsidR="00597365" w:rsidRPr="00597365" w:rsidRDefault="00597365" w:rsidP="0059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Atributem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pak stala kůže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nemejského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lva z jeho prvního úkolu.</w:t>
      </w:r>
    </w:p>
    <w:p w:rsidR="00597365" w:rsidRPr="00307649" w:rsidRDefault="00597365" w:rsidP="003076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CA29F3" w:rsidRDefault="001F30BC" w:rsidP="00CA29F3">
      <w:pPr>
        <w:pStyle w:val="Normlnweb"/>
        <w:spacing w:before="0" w:beforeAutospacing="0" w:after="0"/>
        <w:ind w:right="-57" w:firstLine="708"/>
        <w:rPr>
          <w:i/>
          <w:iCs/>
          <w:sz w:val="20"/>
          <w:szCs w:val="20"/>
        </w:rPr>
      </w:pPr>
      <w:r w:rsidRPr="004279D0">
        <w:t>-</w:t>
      </w:r>
      <w:r w:rsidRPr="004279D0">
        <w:rPr>
          <w:b/>
          <w:bCs/>
        </w:rPr>
        <w:t xml:space="preserve"> </w:t>
      </w:r>
      <w:r w:rsidRPr="00F10134">
        <w:rPr>
          <w:bCs/>
        </w:rPr>
        <w:t>další kapitoly:</w:t>
      </w:r>
      <w:r w:rsidRPr="004279D0">
        <w:t xml:space="preserve"> </w:t>
      </w:r>
      <w:r w:rsidR="009F45E2">
        <w:tab/>
      </w:r>
      <w:commentRangeStart w:id="14"/>
      <w:r w:rsidRPr="00F10134">
        <w:rPr>
          <w:b/>
          <w:i/>
          <w:sz w:val="26"/>
          <w:szCs w:val="26"/>
        </w:rPr>
        <w:t>Théseus z</w:t>
      </w:r>
      <w:r w:rsidR="00CA29F3">
        <w:rPr>
          <w:b/>
          <w:i/>
          <w:sz w:val="26"/>
          <w:szCs w:val="26"/>
        </w:rPr>
        <w:t> </w:t>
      </w:r>
      <w:r w:rsidRPr="00F10134">
        <w:rPr>
          <w:b/>
          <w:i/>
          <w:sz w:val="26"/>
          <w:szCs w:val="26"/>
        </w:rPr>
        <w:t>Athén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32-40) </w:t>
      </w:r>
    </w:p>
    <w:p w:rsid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r w:rsidRPr="00F10134">
        <w:rPr>
          <w:b/>
          <w:i/>
          <w:sz w:val="26"/>
          <w:szCs w:val="26"/>
        </w:rPr>
        <w:t>Trójská válka a příběh Odysseův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41-79) </w:t>
      </w:r>
    </w:p>
    <w:p w:rsidR="001F30BC" w:rsidRP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proofErr w:type="spellStart"/>
      <w:r w:rsidRPr="00F10134">
        <w:rPr>
          <w:b/>
          <w:i/>
          <w:sz w:val="26"/>
          <w:szCs w:val="26"/>
        </w:rPr>
        <w:t>Iásón</w:t>
      </w:r>
      <w:proofErr w:type="spellEnd"/>
      <w:r w:rsidRPr="00F10134">
        <w:rPr>
          <w:b/>
          <w:i/>
          <w:sz w:val="26"/>
          <w:szCs w:val="26"/>
        </w:rPr>
        <w:t>, Médeia a zlaté rouno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80-85) </w:t>
      </w:r>
    </w:p>
    <w:p w:rsid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r w:rsidRPr="00F10134">
        <w:rPr>
          <w:b/>
          <w:i/>
          <w:sz w:val="26"/>
          <w:szCs w:val="26"/>
        </w:rPr>
        <w:t xml:space="preserve">Perseus a </w:t>
      </w:r>
      <w:proofErr w:type="spellStart"/>
      <w:r w:rsidRPr="00F10134">
        <w:rPr>
          <w:b/>
          <w:i/>
          <w:sz w:val="26"/>
          <w:szCs w:val="26"/>
        </w:rPr>
        <w:t>Meúsa</w:t>
      </w:r>
      <w:proofErr w:type="spellEnd"/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86-89) </w:t>
      </w:r>
    </w:p>
    <w:p w:rsidR="00CA29F3" w:rsidRPr="00F10134" w:rsidRDefault="001F30BC" w:rsidP="00CA29F3">
      <w:pPr>
        <w:pStyle w:val="Normlnweb"/>
        <w:spacing w:before="0" w:beforeAutospacing="0" w:after="0"/>
        <w:ind w:left="2124" w:right="-57" w:firstLine="708"/>
        <w:rPr>
          <w:b/>
          <w:i/>
          <w:sz w:val="26"/>
          <w:szCs w:val="26"/>
        </w:rPr>
      </w:pPr>
      <w:proofErr w:type="spellStart"/>
      <w:r w:rsidRPr="00F10134">
        <w:rPr>
          <w:b/>
          <w:i/>
          <w:sz w:val="26"/>
          <w:szCs w:val="26"/>
        </w:rPr>
        <w:t>Oidipús</w:t>
      </w:r>
      <w:proofErr w:type="spellEnd"/>
      <w:r w:rsidRPr="00F10134">
        <w:rPr>
          <w:b/>
          <w:i/>
          <w:sz w:val="26"/>
          <w:szCs w:val="26"/>
        </w:rPr>
        <w:t xml:space="preserve"> a thébský cyklus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>(str. 90-93)</w:t>
      </w:r>
      <w:commentRangeEnd w:id="14"/>
      <w:r w:rsidR="00F94710">
        <w:rPr>
          <w:rStyle w:val="Odkaznakoment"/>
          <w:rFonts w:asciiTheme="minorHAnsi" w:eastAsiaTheme="minorHAnsi" w:hAnsiTheme="minorHAnsi" w:cstheme="minorBidi"/>
          <w:lang w:eastAsia="en-US"/>
        </w:rPr>
        <w:commentReference w:id="14"/>
      </w:r>
    </w:p>
    <w:p w:rsidR="001F30BC" w:rsidRPr="00F10134" w:rsidRDefault="001F30BC" w:rsidP="009F45E2">
      <w:pPr>
        <w:pStyle w:val="Normlnweb"/>
        <w:spacing w:before="0" w:beforeAutospacing="0" w:after="0"/>
        <w:ind w:left="1416" w:right="-57" w:firstLine="708"/>
        <w:rPr>
          <w:b/>
          <w:i/>
          <w:sz w:val="26"/>
          <w:szCs w:val="26"/>
        </w:rPr>
      </w:pP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/>
        <w:rPr>
          <w:b/>
          <w:bCs/>
        </w:rPr>
      </w:pPr>
      <w:r w:rsidRPr="00786115">
        <w:rPr>
          <w:b/>
          <w:bCs/>
          <w:highlight w:val="lightGray"/>
        </w:rPr>
        <w:t>Závěrem</w:t>
      </w:r>
    </w:p>
    <w:p w:rsidR="00786115" w:rsidRPr="004279D0" w:rsidRDefault="00786115" w:rsidP="004279D0">
      <w:pPr>
        <w:pStyle w:val="Normlnweb"/>
        <w:spacing w:before="0" w:beforeAutospacing="0" w:after="0"/>
        <w:ind w:right="-57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commentRangeStart w:id="15"/>
      <w:r w:rsidRPr="004279D0">
        <w:t>Řecké mýty daly vzniknout množství nenahraditelných památek (písemných i uměleckých), byly symbolem vznešenosti a nadčasovosti (Botticelli v 15. století tvoří zároveň křesťanská i mytologická témata: Zrození Venuše/</w:t>
      </w:r>
      <w:r w:rsidR="00B20F5B">
        <w:t xml:space="preserve"> </w:t>
      </w:r>
      <w:r w:rsidRPr="004279D0">
        <w:t xml:space="preserve">Zvěstování).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Jde o velký a dlouhodobý zdroj inspirace- v období romantismu byla cesta do Řecka nebo Říma součástí ukončení vzdělání, což jistě přispělo k rozšíření zájmu o tuto kulturu.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Divadlo, které v Řecku vzniklo, také z velké části vychází právě z mýtů (Francie, 17. století: tragédie Jeana Racina- </w:t>
      </w:r>
      <w:proofErr w:type="spellStart"/>
      <w:r w:rsidRPr="004279D0">
        <w:t>Faidra</w:t>
      </w:r>
      <w:proofErr w:type="spellEnd"/>
      <w:r w:rsidRPr="004279D0">
        <w:t xml:space="preserve">, Oidipus a Ifigenie aj.). 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Inspirace mýty se zdá být nevyčerpatelná, své poselství si v nich hledají téměř všechny generace v kterémkoliv století lidské existence. </w:t>
      </w:r>
      <w:commentRangeStart w:id="16"/>
      <w:r w:rsidRPr="00F10134">
        <w:rPr>
          <w:rStyle w:val="Znakapoznpodarou"/>
          <w:highlight w:val="lightGray"/>
        </w:rPr>
        <w:footnoteReference w:id="4"/>
      </w:r>
      <w:commentRangeEnd w:id="16"/>
      <w:r w:rsidR="007C2C78">
        <w:rPr>
          <w:rStyle w:val="Odkaznakoment"/>
          <w:rFonts w:asciiTheme="minorHAnsi" w:eastAsiaTheme="minorHAnsi" w:hAnsiTheme="minorHAnsi" w:cstheme="minorBidi"/>
          <w:lang w:eastAsia="en-US"/>
        </w:rPr>
        <w:commentReference w:id="16"/>
      </w:r>
      <w:r w:rsidRPr="004279D0">
        <w:t xml:space="preserve"> </w:t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rPr>
          <w:b/>
          <w:bCs/>
          <w:i/>
          <w:iCs/>
        </w:rPr>
        <w:t xml:space="preserve">„Skutečnost, že se mýty stále upravují a přepracovávají, svědčí o trvalé síle jejich imaginativního odkazu.“ </w:t>
      </w:r>
      <w:r w:rsidRPr="004279D0">
        <w:rPr>
          <w:i/>
          <w:iCs/>
          <w:sz w:val="20"/>
          <w:szCs w:val="20"/>
        </w:rPr>
        <w:t>(str. 108)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Proto je vhodné se s některými příběhy seznámit i v dnešní době nejen pro jejich kouzlo, ale i k zamyšlení nad současným světem a lidským chováním, které se (jak se zdá) od dob Olympanů příliš výrazně nezměnilo- možná ubylo </w:t>
      </w:r>
      <w:proofErr w:type="spellStart"/>
      <w:r w:rsidRPr="004279D0">
        <w:t>héróů</w:t>
      </w:r>
      <w:proofErr w:type="spellEnd"/>
      <w:r w:rsidRPr="004279D0">
        <w:t xml:space="preserve"> a fatalistů, ale drobné prohřešky, jako hašteřivost nebo chamtivost, nás provází už více než 2000 let.</w:t>
      </w:r>
      <w:commentRangeEnd w:id="15"/>
      <w:r w:rsidR="007C2C78">
        <w:rPr>
          <w:rStyle w:val="Odkaznakoment"/>
          <w:rFonts w:asciiTheme="minorHAnsi" w:eastAsiaTheme="minorHAnsi" w:hAnsiTheme="minorHAnsi" w:cstheme="minorBidi"/>
          <w:lang w:eastAsia="en-US"/>
        </w:rPr>
        <w:commentReference w:id="15"/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rPr>
          <w:b/>
          <w:bCs/>
          <w:i/>
          <w:iCs/>
        </w:rPr>
        <w:t xml:space="preserve">„Řecké mýty si uchovávají přitažlivost i na konci 20. století. Přestože ony staré příběhy se objevují v podivných nových </w:t>
      </w:r>
      <w:proofErr w:type="gramStart"/>
      <w:r w:rsidRPr="004279D0">
        <w:rPr>
          <w:b/>
          <w:bCs/>
          <w:i/>
          <w:iCs/>
        </w:rPr>
        <w:t xml:space="preserve">převlecích...“ </w:t>
      </w:r>
      <w:r w:rsidR="009F45E2">
        <w:rPr>
          <w:b/>
          <w:bCs/>
          <w:i/>
          <w:iCs/>
        </w:rPr>
        <w:t xml:space="preserve"> </w:t>
      </w:r>
      <w:r w:rsidRPr="00B20F5B">
        <w:rPr>
          <w:bCs/>
          <w:i/>
          <w:iCs/>
          <w:sz w:val="20"/>
          <w:szCs w:val="20"/>
        </w:rPr>
        <w:t>(</w:t>
      </w:r>
      <w:r w:rsidR="00B20F5B" w:rsidRPr="00B20F5B">
        <w:rPr>
          <w:bCs/>
          <w:i/>
          <w:iCs/>
          <w:sz w:val="20"/>
          <w:szCs w:val="20"/>
        </w:rPr>
        <w:t xml:space="preserve"> </w:t>
      </w:r>
      <w:r w:rsidRPr="00B20F5B">
        <w:rPr>
          <w:bCs/>
          <w:i/>
          <w:iCs/>
          <w:sz w:val="20"/>
          <w:szCs w:val="20"/>
        </w:rPr>
        <w:t>str.</w:t>
      </w:r>
      <w:proofErr w:type="gramEnd"/>
      <w:r w:rsidRPr="00B20F5B">
        <w:rPr>
          <w:bCs/>
          <w:i/>
          <w:iCs/>
          <w:sz w:val="20"/>
          <w:szCs w:val="20"/>
        </w:rPr>
        <w:t xml:space="preserve"> 108)</w:t>
      </w:r>
      <w:r w:rsidRPr="004279D0">
        <w:rPr>
          <w:b/>
          <w:bCs/>
        </w:rPr>
        <w:t xml:space="preserve"> </w:t>
      </w:r>
      <w:r w:rsidRPr="004279D0">
        <w:t>a toto dílo se nás o tom snaží přesvědčit.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Knížka tvoří přehledný celek řeckých mýtů, uspořádaných podle logické návaznosti, kromě příběhů nabízí všem zájemcům o tuto tématiku také hlubší pohled, vysvětluje souvislosti, uvádí různé verze jednotlivých příběhů, vše je doplněno názornými vyobrazeními. </w:t>
      </w:r>
      <w:commentRangeStart w:id="17"/>
      <w:r w:rsidRPr="004279D0">
        <w:t>Doporučila bych ji všem</w:t>
      </w:r>
      <w:commentRangeEnd w:id="17"/>
      <w:r w:rsidR="00FC6165">
        <w:rPr>
          <w:rStyle w:val="Odkaznakoment"/>
          <w:rFonts w:asciiTheme="minorHAnsi" w:eastAsiaTheme="minorHAnsi" w:hAnsiTheme="minorHAnsi" w:cstheme="minorBidi"/>
          <w:lang w:eastAsia="en-US"/>
        </w:rPr>
        <w:commentReference w:id="17"/>
      </w:r>
      <w:r w:rsidRPr="004279D0">
        <w:t>, kteří mají zájem dozvědět se něco více o mýtech a jejich postavení ve společnosti (naší, antické i kterékoliv jiné).</w:t>
      </w:r>
    </w:p>
    <w:p w:rsidR="001F30BC" w:rsidRDefault="001F30BC" w:rsidP="004279D0">
      <w:pPr>
        <w:pStyle w:val="Normlnweb"/>
        <w:spacing w:before="0" w:beforeAutospacing="0" w:after="0"/>
        <w:ind w:right="-57"/>
      </w:pPr>
    </w:p>
    <w:p w:rsidR="009F45E2" w:rsidRDefault="009F45E2" w:rsidP="009F45E2">
      <w:pPr>
        <w:pStyle w:val="Normlnweb"/>
        <w:spacing w:before="0" w:beforeAutospacing="0" w:after="0"/>
        <w:ind w:right="-57"/>
        <w:jc w:val="right"/>
      </w:pPr>
      <w:r>
        <w:t xml:space="preserve">Veronika </w:t>
      </w:r>
      <w:proofErr w:type="spellStart"/>
      <w:r>
        <w:t>Š</w:t>
      </w:r>
      <w:bookmarkStart w:id="18" w:name="_GoBack"/>
      <w:bookmarkEnd w:id="18"/>
      <w:r>
        <w:t>odková</w:t>
      </w:r>
      <w:proofErr w:type="spellEnd"/>
      <w:r>
        <w:t xml:space="preserve">, </w:t>
      </w:r>
      <w:r w:rsidR="00786115">
        <w:t>2012 (</w:t>
      </w:r>
      <w:r>
        <w:t>415580</w:t>
      </w:r>
      <w:r w:rsidR="00786115">
        <w:t>)</w:t>
      </w:r>
    </w:p>
    <w:p w:rsidR="00D42593" w:rsidRDefault="00D42593" w:rsidP="004279D0">
      <w:pPr>
        <w:spacing w:after="0" w:line="240" w:lineRule="auto"/>
        <w:ind w:right="-57"/>
      </w:pP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 xml:space="preserve">Píšete čtivou a plynulou češtinou, bez chyb. 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 xml:space="preserve">Vaši recenzi bude třeba zkrátit. Nejen proto, že jste překročila zadaný rozsah </w:t>
      </w:r>
      <w:r>
        <w:rPr>
          <w:i/>
          <w:color w:val="FF0000"/>
        </w:rPr>
        <w:t>(7500 znaků, s poznámkami dokonce 9400, přitom zadaný rozsah byl 3600-7200 znaků)</w:t>
      </w:r>
      <w:r>
        <w:rPr>
          <w:i/>
          <w:color w:val="FF0000"/>
        </w:rPr>
        <w:t>, ale také proto, že se obsah textu rozmělňuje a ztrácí se podstatné informace. Raději příjmu práci kratší, ale přehlednou.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 xml:space="preserve">Vypusťte nadbytečné citace. V recenzi zadaného rozsahu (bohužel) není místo na tak obsáhlé citace. </w:t>
      </w:r>
    </w:p>
    <w:p w:rsidR="00086538" w:rsidRDefault="00086538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>Přepracovanou recenzi mi pošlete mailem. Pokud budete mít dotazy, napište.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 xml:space="preserve">Poznámky k formátování: 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>- dodržujte jednotnou velikost písma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>- vyhněte se nadužívání tučně zvýrazněného textu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>- citace raději uvádějte jako součást textu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  <w:r>
        <w:rPr>
          <w:i/>
          <w:color w:val="FF0000"/>
        </w:rPr>
        <w:t>- zarovnejte text „do bloku“</w:t>
      </w:r>
    </w:p>
    <w:p w:rsidR="00FC6165" w:rsidRDefault="00FC6165" w:rsidP="004279D0">
      <w:pPr>
        <w:spacing w:after="0" w:line="240" w:lineRule="auto"/>
        <w:ind w:right="-57"/>
        <w:rPr>
          <w:i/>
          <w:color w:val="FF0000"/>
        </w:rPr>
      </w:pPr>
    </w:p>
    <w:p w:rsidR="00F94710" w:rsidRDefault="00F94710" w:rsidP="004279D0">
      <w:pPr>
        <w:spacing w:after="0" w:line="240" w:lineRule="auto"/>
        <w:ind w:right="-57"/>
        <w:rPr>
          <w:i/>
          <w:color w:val="FF0000"/>
        </w:rPr>
      </w:pPr>
    </w:p>
    <w:sectPr w:rsidR="00F94710" w:rsidSect="009F45E2"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1-12T19:04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chybí místo vydání</w:t>
      </w:r>
    </w:p>
  </w:comment>
  <w:comment w:id="1" w:author="Markéta Jelínková" w:date="2013-01-12T19:42:00Z" w:initials="MJ">
    <w:p w:rsidR="00FC6165" w:rsidRDefault="00FC6165">
      <w:pPr>
        <w:pStyle w:val="Textkomente"/>
      </w:pPr>
      <w:r>
        <w:rPr>
          <w:rStyle w:val="Odkaznakoment"/>
        </w:rPr>
        <w:annotationRef/>
      </w:r>
      <w:r>
        <w:t>zrušte</w:t>
      </w:r>
    </w:p>
  </w:comment>
  <w:comment w:id="2" w:author="Markéta Jelínková" w:date="2013-01-12T19:08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smažte nebo nahraďte méně přímou formulací např. (teď mě napadá) „Vzhledem k celkovému pojetí knihy, lze tento výběr považovat za zdařilý.“</w:t>
      </w:r>
    </w:p>
  </w:comment>
  <w:comment w:id="3" w:author="Markéta Jelínková" w:date="2013-01-12T19:08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čtenáře</w:t>
      </w:r>
    </w:p>
  </w:comment>
  <w:comment w:id="4" w:author="Markéta Jelínková" w:date="2013-01-12T19:13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5" w:author="Markéta Jelínková" w:date="2013-01-12T19:09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do závorek</w:t>
      </w:r>
    </w:p>
  </w:comment>
  <w:comment w:id="6" w:author="Markéta Jelínková" w:date="2013-01-12T19:13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7" w:author="Markéta Jelínková" w:date="2013-01-12T19:14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poznámku doporučuji smazat, nevím, proč by si zrovna tato informace zasloužila místo v poznámce...</w:t>
      </w:r>
    </w:p>
  </w:comment>
  <w:comment w:id="8" w:author="Markéta Jelínková" w:date="2013-01-12T19:13:00Z" w:initials="MJ">
    <w:p w:rsidR="009A292A" w:rsidRDefault="009A292A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9" w:author="Markéta Jelínková" w:date="2013-01-12T19:15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myslíte ze života Řeků?</w:t>
      </w:r>
    </w:p>
  </w:comment>
  <w:comment w:id="10" w:author="Markéta Jelínková" w:date="2013-01-12T19:18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doporučuji zrušit</w:t>
      </w:r>
    </w:p>
  </w:comment>
  <w:comment w:id="11" w:author="Markéta Jelínková" w:date="2013-01-12T19:20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doporučuji zrušit; jedině pokud byste trvala na tom, že píšete pro čtenáře nevzdělaného (který nejen neví, ale ani neví, kde hledat), měla by tato poznámka význam</w:t>
      </w:r>
    </w:p>
  </w:comment>
  <w:comment w:id="12" w:author="Markéta Jelínková" w:date="2013-01-12T19:21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zrušte</w:t>
      </w:r>
    </w:p>
  </w:comment>
  <w:comment w:id="13" w:author="Markéta Jelínková" w:date="2013-01-12T19:22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>
        <w:t>zkraťte</w:t>
      </w:r>
    </w:p>
  </w:comment>
  <w:comment w:id="14" w:author="Markéta Jelínková" w:date="2013-01-12T19:28:00Z" w:initials="MJ">
    <w:p w:rsidR="00F94710" w:rsidRDefault="00F94710">
      <w:pPr>
        <w:pStyle w:val="Textkomente"/>
      </w:pPr>
      <w:r>
        <w:rPr>
          <w:rStyle w:val="Odkaznakoment"/>
        </w:rPr>
        <w:annotationRef/>
      </w:r>
      <w:r w:rsidR="007C2C78">
        <w:t xml:space="preserve">Bohužel ostatní kapitoly nemůžete odbýt tak, že je vypíšete. Bude třeba pokusit se o nějaké shrnutí anebo pojmout jinak celou část „Kapitoly“. Osobně by mě například zajímalo, jakým způsobem jsou výklady zpracovány: zda se jedná o „pohádkové“ vyprávění, na jaké zdroje se autorka odvolává, jestli kapitoly mají nějakou strukturu... </w:t>
      </w:r>
    </w:p>
    <w:p w:rsidR="007C2C78" w:rsidRPr="007C2C78" w:rsidRDefault="007C2C78">
      <w:pPr>
        <w:pStyle w:val="Textkomente"/>
        <w:rPr>
          <w:i/>
        </w:rPr>
      </w:pPr>
      <w:r>
        <w:t>Asi by bylo možné pojmout část „</w:t>
      </w:r>
      <w:proofErr w:type="spellStart"/>
      <w:r>
        <w:t>Hérakleovy</w:t>
      </w:r>
      <w:proofErr w:type="spellEnd"/>
      <w:r>
        <w:t xml:space="preserve"> práce“ jako ukázku toho, jak autorka s mýty pracuje a pak na konci shrnout ve smyslu </w:t>
      </w:r>
      <w:r>
        <w:rPr>
          <w:i/>
        </w:rPr>
        <w:t>a podobně je to v dalších kapitolách.</w:t>
      </w:r>
    </w:p>
  </w:comment>
  <w:comment w:id="16" w:author="Markéta Jelínková" w:date="2013-01-12T19:44:00Z" w:initials="MJ">
    <w:p w:rsidR="007C2C78" w:rsidRDefault="007C2C78">
      <w:pPr>
        <w:pStyle w:val="Textkomente"/>
      </w:pPr>
      <w:r>
        <w:rPr>
          <w:rStyle w:val="Odkaznakoment"/>
        </w:rPr>
        <w:annotationRef/>
      </w:r>
      <w:r>
        <w:t xml:space="preserve"> citaci máte odkud?</w:t>
      </w:r>
    </w:p>
    <w:p w:rsidR="007C2C78" w:rsidRDefault="007C2C78">
      <w:pPr>
        <w:pStyle w:val="Textkomente"/>
      </w:pPr>
      <w:r>
        <w:t>pasáž „další ovlivnění“ je zajímavá, ale v poznámce se ztrácí. Jako ideální řešení bych viděla zrušit citaci a po přepracování ponechat část „další ovlivnění“</w:t>
      </w:r>
      <w:r w:rsidR="00FC6165">
        <w:t>. Začněte poznámku například „Srovnej:“ nebo „Viz“ nebo „další vlivy můžeme vypozorovat například u...“</w:t>
      </w:r>
    </w:p>
    <w:p w:rsidR="00FC6165" w:rsidRDefault="00FC6165">
      <w:pPr>
        <w:pStyle w:val="Textkomente"/>
      </w:pPr>
      <w:r>
        <w:t xml:space="preserve">Píše se Star </w:t>
      </w:r>
      <w:proofErr w:type="spellStart"/>
      <w:r>
        <w:t>Trek</w:t>
      </w:r>
      <w:proofErr w:type="spellEnd"/>
      <w:r>
        <w:t xml:space="preserve">!!!! </w:t>
      </w:r>
      <w:proofErr w:type="gramStart"/>
      <w:r w:rsidR="00086538">
        <w:t>kdysi</w:t>
      </w:r>
      <w:proofErr w:type="gramEnd"/>
      <w:r w:rsidR="00086538">
        <w:t xml:space="preserve"> jsem byla tak trochu </w:t>
      </w:r>
      <w:proofErr w:type="spellStart"/>
      <w:r w:rsidR="00086538" w:rsidRPr="00086538">
        <w:rPr>
          <w:i/>
        </w:rPr>
        <w:t>trekkie</w:t>
      </w:r>
      <w:proofErr w:type="spellEnd"/>
      <w:r>
        <w:t xml:space="preserve">:) </w:t>
      </w:r>
    </w:p>
    <w:p w:rsidR="007C2C78" w:rsidRDefault="00FC6165">
      <w:pPr>
        <w:pStyle w:val="Textkomente"/>
      </w:pPr>
      <w:proofErr w:type="gramStart"/>
      <w:r>
        <w:t>...poznámku</w:t>
      </w:r>
      <w:proofErr w:type="gramEnd"/>
      <w:r>
        <w:t xml:space="preserve"> můžete také celou smazat</w:t>
      </w:r>
    </w:p>
  </w:comment>
  <w:comment w:id="15" w:author="Markéta Jelínková" w:date="2013-01-12T19:30:00Z" w:initials="MJ">
    <w:p w:rsidR="007C2C78" w:rsidRDefault="007C2C78">
      <w:pPr>
        <w:pStyle w:val="Textkomente"/>
      </w:pPr>
      <w:r>
        <w:rPr>
          <w:rStyle w:val="Odkaznakoment"/>
        </w:rPr>
        <w:annotationRef/>
      </w:r>
      <w:r>
        <w:t>závěr sice pěkný, ale pro recenzi příliš dlouhý. Pět šest řádků by stačilo.</w:t>
      </w:r>
    </w:p>
  </w:comment>
  <w:comment w:id="17" w:author="Markéta Jelínková" w:date="2013-01-12T19:36:00Z" w:initials="MJ">
    <w:p w:rsidR="00FC6165" w:rsidRDefault="00FC6165">
      <w:pPr>
        <w:pStyle w:val="Textkomente"/>
      </w:pPr>
      <w:r>
        <w:rPr>
          <w:rStyle w:val="Odkaznakoment"/>
        </w:rPr>
        <w:annotationRef/>
      </w:r>
      <w:r>
        <w:t>Nelze ji než doporučit všem,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2" w:rsidRDefault="008D6492" w:rsidP="001F30BC">
      <w:pPr>
        <w:spacing w:after="0" w:line="240" w:lineRule="auto"/>
      </w:pPr>
      <w:r>
        <w:separator/>
      </w:r>
    </w:p>
  </w:endnote>
  <w:endnote w:type="continuationSeparator" w:id="0">
    <w:p w:rsidR="008D6492" w:rsidRDefault="008D6492" w:rsidP="001F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341281"/>
      <w:docPartObj>
        <w:docPartGallery w:val="Page Numbers (Bottom of Page)"/>
        <w:docPartUnique/>
      </w:docPartObj>
    </w:sdtPr>
    <w:sdtEndPr/>
    <w:sdtContent>
      <w:p w:rsidR="009F45E2" w:rsidRDefault="009F45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38">
          <w:rPr>
            <w:noProof/>
          </w:rPr>
          <w:t>4</w:t>
        </w:r>
        <w:r>
          <w:fldChar w:fldCharType="end"/>
        </w:r>
      </w:p>
    </w:sdtContent>
  </w:sdt>
  <w:p w:rsidR="009F45E2" w:rsidRDefault="009F4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2" w:rsidRDefault="008D6492" w:rsidP="001F30BC">
      <w:pPr>
        <w:spacing w:after="0" w:line="240" w:lineRule="auto"/>
      </w:pPr>
      <w:r>
        <w:separator/>
      </w:r>
    </w:p>
  </w:footnote>
  <w:footnote w:type="continuationSeparator" w:id="0">
    <w:p w:rsidR="008D6492" w:rsidRDefault="008D6492" w:rsidP="001F30BC">
      <w:pPr>
        <w:spacing w:after="0" w:line="240" w:lineRule="auto"/>
      </w:pPr>
      <w:r>
        <w:continuationSeparator/>
      </w:r>
    </w:p>
  </w:footnote>
  <w:footnote w:id="1">
    <w:p w:rsidR="00F10134" w:rsidRPr="00F10134" w:rsidRDefault="001F30BC" w:rsidP="00F10134">
      <w:pPr>
        <w:pStyle w:val="Normlnweb"/>
        <w:spacing w:after="0"/>
      </w:pPr>
      <w:r w:rsidRPr="009F45E2">
        <w:rPr>
          <w:rStyle w:val="Znakapoznpodarou"/>
          <w:color w:val="000000" w:themeColor="text1"/>
          <w:highlight w:val="lightGray"/>
        </w:rPr>
        <w:footnoteRef/>
      </w:r>
      <w:r w:rsidRPr="009F45E2">
        <w:rPr>
          <w:color w:val="000000" w:themeColor="text1"/>
          <w:highlight w:val="lightGray"/>
        </w:rPr>
        <w:t xml:space="preserve"> </w:t>
      </w:r>
      <w:r w:rsidR="00F10134" w:rsidRPr="00F10134">
        <w:rPr>
          <w:sz w:val="20"/>
          <w:szCs w:val="20"/>
        </w:rPr>
        <w:t>Oproti tomu v po</w:t>
      </w:r>
      <w:r w:rsidR="00405BC5">
        <w:rPr>
          <w:sz w:val="20"/>
          <w:szCs w:val="20"/>
        </w:rPr>
        <w:t>zdějších dobách se tyto knihy tě</w:t>
      </w:r>
      <w:r w:rsidR="00F10134" w:rsidRPr="00F10134">
        <w:rPr>
          <w:sz w:val="20"/>
          <w:szCs w:val="20"/>
        </w:rPr>
        <w:t>šily velkému zájmu veřejnosti.</w:t>
      </w:r>
    </w:p>
    <w:p w:rsidR="001F30BC" w:rsidRPr="009F45E2" w:rsidRDefault="001F30BC" w:rsidP="001F30BC">
      <w:pPr>
        <w:pStyle w:val="Normlnweb"/>
        <w:spacing w:after="0"/>
        <w:rPr>
          <w:color w:val="000000" w:themeColor="text1"/>
          <w:highlight w:val="lightGray"/>
        </w:rPr>
      </w:pPr>
    </w:p>
    <w:p w:rsidR="001F30BC" w:rsidRPr="009F45E2" w:rsidRDefault="001F30BC">
      <w:pPr>
        <w:pStyle w:val="Textpoznpodarou"/>
        <w:rPr>
          <w:highlight w:val="lightGray"/>
        </w:rPr>
      </w:pPr>
    </w:p>
  </w:footnote>
  <w:footnote w:id="2">
    <w:p w:rsidR="00405BC5" w:rsidRDefault="00405BC5" w:rsidP="00405BC5">
      <w:pPr>
        <w:pStyle w:val="Normlnweb"/>
        <w:spacing w:before="0" w:beforeAutospacing="0" w:after="0"/>
        <w:ind w:right="-57"/>
        <w:rPr>
          <w:b/>
          <w:bCs/>
          <w:i/>
          <w:i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405BC5">
        <w:rPr>
          <w:b/>
          <w:bCs/>
          <w:iCs/>
          <w:sz w:val="20"/>
          <w:szCs w:val="20"/>
        </w:rPr>
        <w:t>Hésiodova</w:t>
      </w:r>
      <w:proofErr w:type="spellEnd"/>
      <w:r w:rsidRPr="00405BC5">
        <w:rPr>
          <w:b/>
          <w:bCs/>
          <w:iCs/>
          <w:sz w:val="20"/>
          <w:szCs w:val="20"/>
        </w:rPr>
        <w:t xml:space="preserve"> teorie: 4 lidská pokolení (</w:t>
      </w:r>
      <w:r w:rsidRPr="00405BC5">
        <w:rPr>
          <w:b/>
          <w:bCs/>
          <w:i/>
          <w:iCs/>
          <w:sz w:val="20"/>
          <w:szCs w:val="20"/>
        </w:rPr>
        <w:t>zlaté, stříbrné, bronzové</w:t>
      </w:r>
      <w:r w:rsidRPr="00405BC5">
        <w:rPr>
          <w:b/>
          <w:bCs/>
          <w:iCs/>
          <w:sz w:val="20"/>
          <w:szCs w:val="20"/>
        </w:rPr>
        <w:t>- válečníci, vyhubili se;</w:t>
      </w:r>
      <w:r>
        <w:rPr>
          <w:b/>
          <w:bCs/>
          <w:iCs/>
          <w:sz w:val="20"/>
          <w:szCs w:val="20"/>
        </w:rPr>
        <w:t xml:space="preserve"> </w:t>
      </w:r>
      <w:r w:rsidRPr="00405BC5">
        <w:rPr>
          <w:b/>
          <w:bCs/>
          <w:iCs/>
          <w:sz w:val="20"/>
          <w:szCs w:val="20"/>
        </w:rPr>
        <w:t xml:space="preserve"> </w:t>
      </w:r>
      <w:r w:rsidRPr="00405BC5">
        <w:rPr>
          <w:b/>
          <w:bCs/>
          <w:i/>
          <w:iCs/>
          <w:sz w:val="20"/>
          <w:szCs w:val="20"/>
        </w:rPr>
        <w:t>„polobozi“-</w:t>
      </w:r>
      <w:proofErr w:type="spellStart"/>
      <w:r w:rsidRPr="00405BC5">
        <w:rPr>
          <w:b/>
          <w:bCs/>
          <w:i/>
          <w:iCs/>
          <w:sz w:val="20"/>
          <w:szCs w:val="20"/>
        </w:rPr>
        <w:t>héróové</w:t>
      </w:r>
      <w:proofErr w:type="spellEnd"/>
      <w:r w:rsidRPr="00405BC5">
        <w:rPr>
          <w:b/>
          <w:bCs/>
          <w:iCs/>
          <w:sz w:val="20"/>
          <w:szCs w:val="20"/>
        </w:rPr>
        <w:t>= přímí předci lidí)</w:t>
      </w:r>
      <w:r w:rsidRPr="004279D0">
        <w:rPr>
          <w:b/>
          <w:bCs/>
          <w:i/>
          <w:iCs/>
          <w:sz w:val="20"/>
          <w:szCs w:val="20"/>
        </w:rPr>
        <w:t xml:space="preserve"> </w:t>
      </w:r>
    </w:p>
    <w:p w:rsidR="00307649" w:rsidRDefault="00405BC5" w:rsidP="00405BC5">
      <w:pPr>
        <w:pStyle w:val="Normlnweb"/>
        <w:spacing w:before="0" w:beforeAutospacing="0" w:after="0"/>
        <w:ind w:right="-57"/>
        <w:rPr>
          <w:i/>
          <w:iCs/>
          <w:sz w:val="20"/>
          <w:szCs w:val="20"/>
        </w:rPr>
      </w:pPr>
      <w:r w:rsidRPr="004279D0">
        <w:rPr>
          <w:i/>
          <w:iCs/>
          <w:sz w:val="20"/>
          <w:szCs w:val="20"/>
        </w:rPr>
        <w:t xml:space="preserve">„to jsou oni muži, jejichž skutky a povahy utvářejí řecké mýty: potírali bájné nestvůry, plavili se přes moře, aby nalezli Helenu, umírali na pláních </w:t>
      </w:r>
      <w:proofErr w:type="spellStart"/>
      <w:r w:rsidRPr="004279D0">
        <w:rPr>
          <w:i/>
          <w:iCs/>
          <w:sz w:val="20"/>
          <w:szCs w:val="20"/>
        </w:rPr>
        <w:t>Tróje</w:t>
      </w:r>
      <w:proofErr w:type="spellEnd"/>
      <w:r w:rsidRPr="004279D0">
        <w:rPr>
          <w:i/>
          <w:iCs/>
          <w:sz w:val="20"/>
          <w:szCs w:val="20"/>
        </w:rPr>
        <w:t xml:space="preserve"> či obléhali Thébskou citadelu o sedmi branách. Po smrti přebývali jako. … Mnozí </w:t>
      </w:r>
      <w:proofErr w:type="spellStart"/>
      <w:r w:rsidRPr="004279D0">
        <w:rPr>
          <w:i/>
          <w:iCs/>
          <w:sz w:val="20"/>
          <w:szCs w:val="20"/>
        </w:rPr>
        <w:t>héróové</w:t>
      </w:r>
      <w:proofErr w:type="spellEnd"/>
      <w:r w:rsidRPr="004279D0">
        <w:rPr>
          <w:i/>
          <w:iCs/>
          <w:sz w:val="20"/>
          <w:szCs w:val="20"/>
        </w:rPr>
        <w:t xml:space="preserve"> měli božského otce nebo matku </w:t>
      </w:r>
    </w:p>
    <w:p w:rsidR="00405BC5" w:rsidRPr="004279D0" w:rsidRDefault="00405BC5" w:rsidP="00405BC5">
      <w:pPr>
        <w:pStyle w:val="Normlnweb"/>
        <w:spacing w:before="0" w:beforeAutospacing="0" w:after="0"/>
        <w:ind w:right="-57"/>
      </w:pPr>
      <w:r w:rsidRPr="004279D0">
        <w:rPr>
          <w:i/>
          <w:iCs/>
          <w:sz w:val="20"/>
          <w:szCs w:val="20"/>
        </w:rPr>
        <w:t xml:space="preserve">… všichni však byli vznešeného původu (králové nebo vladaři, vládci zemí či měst, velitelé armád, vlastníci pohádkového bohatství). Všichni do jednoho byli pohlední, urostlí a stateční. Zachovávali přísná pravidla chování (uctivost, pohostinnost), naplňovali svůj osud, svět </w:t>
      </w:r>
      <w:proofErr w:type="spellStart"/>
      <w:r w:rsidRPr="004279D0">
        <w:rPr>
          <w:i/>
          <w:iCs/>
          <w:sz w:val="20"/>
          <w:szCs w:val="20"/>
        </w:rPr>
        <w:t>héróů</w:t>
      </w:r>
      <w:proofErr w:type="spellEnd"/>
      <w:r w:rsidRPr="004279D0">
        <w:rPr>
          <w:i/>
          <w:iCs/>
          <w:sz w:val="20"/>
          <w:szCs w:val="20"/>
        </w:rPr>
        <w:t xml:space="preserve"> nebyl od světa bohů zřetelně oddělen.“ </w:t>
      </w:r>
      <w:r w:rsidR="00307649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12-13</w:t>
      </w:r>
      <w:r w:rsidR="00307649">
        <w:rPr>
          <w:i/>
          <w:iCs/>
          <w:sz w:val="20"/>
          <w:szCs w:val="20"/>
        </w:rPr>
        <w:t>)</w:t>
      </w:r>
    </w:p>
    <w:p w:rsidR="00405BC5" w:rsidRDefault="00405BC5">
      <w:pPr>
        <w:pStyle w:val="Textpoznpodarou"/>
      </w:pPr>
    </w:p>
  </w:footnote>
  <w:footnote w:id="3">
    <w:p w:rsidR="00F10134" w:rsidRPr="00F10134" w:rsidRDefault="001F30BC" w:rsidP="00F10134">
      <w:pPr>
        <w:pStyle w:val="Normlnweb"/>
        <w:spacing w:before="0" w:beforeAutospacing="0" w:after="0"/>
      </w:pPr>
      <w:r w:rsidRPr="009F45E2">
        <w:rPr>
          <w:rStyle w:val="Znakapoznpodarou"/>
          <w:highlight w:val="lightGray"/>
        </w:rPr>
        <w:footnoteRef/>
      </w:r>
      <w:r w:rsidRPr="009F45E2">
        <w:rPr>
          <w:highlight w:val="lightGray"/>
        </w:rPr>
        <w:t xml:space="preserve"> </w:t>
      </w:r>
      <w:r w:rsidR="00F10134">
        <w:t xml:space="preserve"> </w:t>
      </w:r>
      <w:r w:rsidR="00F10134" w:rsidRPr="00F10134">
        <w:rPr>
          <w:b/>
          <w:bCs/>
          <w:sz w:val="20"/>
          <w:szCs w:val="20"/>
        </w:rPr>
        <w:t xml:space="preserve">řečtí bohové 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Úranos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(nebe)+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 xml:space="preserve">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Gaia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(Země)- mnoho dětí;</w:t>
      </w:r>
    </w:p>
    <w:p w:rsid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nejmladší: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Kronos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usekl otci genitálie, aby nemohl dál plodit a hodil je do moře- zrození </w:t>
      </w: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Afrodité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*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Kronos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+ sestra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Rheia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- 5 dětí- požíral je (věděl, že 1 z nich ho zabije); </w:t>
      </w:r>
    </w:p>
    <w:p w:rsid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Rhea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Dia ukryla na Krétě (hora </w:t>
      </w: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Ída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Kronos místo něj spolknul kámen. Až Zeus dospěl, donutil otce vydávit jeho sourozence, kteří mu pak vyhlásili válku. </w:t>
      </w:r>
    </w:p>
    <w:p w:rsidR="00F10134" w:rsidRPr="00F10134" w:rsidRDefault="00B20F5B" w:rsidP="00B20F5B">
      <w:pPr>
        <w:tabs>
          <w:tab w:val="left" w:pos="3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Tři synové</w:t>
      </w:r>
      <w:r w:rsidRPr="00F1013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Zeus, Poseidon a Hádes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pak losovali o moc. Jejich sestry vládly společně s nimi (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Hestiá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Démeter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Hérá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); 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Hérá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+ Zeus: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Ares,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Hefaistos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Héba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Eileithie</w:t>
      </w:r>
      <w:proofErr w:type="spellEnd"/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nemanželské děti: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Athéna,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Persefoné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Apollon a Artemis, Dionýsos,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Hermés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*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Afrodité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- 2 verze o jejím zrození </w:t>
      </w:r>
    </w:p>
    <w:p w:rsidR="00F10134" w:rsidRPr="00F10134" w:rsidRDefault="00F10134" w:rsidP="00F101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134" w:rsidRPr="009F45E2" w:rsidRDefault="00F10134" w:rsidP="00F10134">
      <w:pPr>
        <w:pStyle w:val="Normlnweb"/>
        <w:spacing w:before="0" w:beforeAutospacing="0" w:after="0"/>
        <w:rPr>
          <w:highlight w:val="lightGray"/>
        </w:rPr>
      </w:pPr>
    </w:p>
  </w:footnote>
  <w:footnote w:id="4">
    <w:p w:rsidR="00F10134" w:rsidRDefault="001F30BC" w:rsidP="00F10134">
      <w:pPr>
        <w:pStyle w:val="Normlnweb"/>
        <w:spacing w:after="0"/>
        <w:rPr>
          <w:sz w:val="20"/>
          <w:szCs w:val="20"/>
        </w:rPr>
      </w:pPr>
      <w:r w:rsidRPr="009F45E2">
        <w:rPr>
          <w:rStyle w:val="Znakapoznpodarou"/>
          <w:highlight w:val="lightGray"/>
        </w:rPr>
        <w:footnoteRef/>
      </w:r>
      <w:r w:rsidRPr="009F45E2">
        <w:rPr>
          <w:highlight w:val="lightGray"/>
        </w:rPr>
        <w:t xml:space="preserve"> </w:t>
      </w:r>
      <w:r w:rsidR="00F10134" w:rsidRPr="00F10134">
        <w:t>„</w:t>
      </w:r>
      <w:r w:rsidR="00F10134" w:rsidRPr="00F10134">
        <w:rPr>
          <w:i/>
          <w:iCs/>
          <w:sz w:val="20"/>
          <w:szCs w:val="20"/>
        </w:rPr>
        <w:t>Sigmund Freud řecké mýty spolu s jinými aspekty klasického starověku považoval za nesmírně důležité, neboť rozpoznal, že jsou výrazem univerzálních lidských témat“ (</w:t>
      </w:r>
      <w:r w:rsidR="00F10134" w:rsidRPr="00F10134">
        <w:rPr>
          <w:sz w:val="20"/>
          <w:szCs w:val="20"/>
        </w:rPr>
        <w:t xml:space="preserve">nešlo mu jen o známý „Oidipovský komplex“). </w:t>
      </w:r>
    </w:p>
    <w:p w:rsidR="00F10134" w:rsidRPr="00F10134" w:rsidRDefault="00F10134" w:rsidP="00F10134">
      <w:pPr>
        <w:pStyle w:val="Normlnweb"/>
        <w:spacing w:after="0"/>
      </w:pPr>
      <w:r w:rsidRPr="00F10134">
        <w:rPr>
          <w:sz w:val="20"/>
          <w:szCs w:val="20"/>
          <w:u w:val="single"/>
        </w:rPr>
        <w:t>Další ovlivnění</w:t>
      </w:r>
      <w:r w:rsidRPr="00F10134">
        <w:rPr>
          <w:sz w:val="20"/>
          <w:szCs w:val="20"/>
        </w:rPr>
        <w:t xml:space="preserve">: James </w:t>
      </w:r>
      <w:proofErr w:type="spellStart"/>
      <w:r w:rsidRPr="00F10134">
        <w:rPr>
          <w:sz w:val="20"/>
          <w:szCs w:val="20"/>
        </w:rPr>
        <w:t>Joyce</w:t>
      </w:r>
      <w:proofErr w:type="spellEnd"/>
      <w:r w:rsidRPr="00F10134">
        <w:rPr>
          <w:sz w:val="20"/>
          <w:szCs w:val="20"/>
        </w:rPr>
        <w:t xml:space="preserve">- Odysseus (moderní verze- putování irského Žida v 1 dni); seriál </w:t>
      </w:r>
      <w:proofErr w:type="spellStart"/>
      <w:r w:rsidRPr="00F10134">
        <w:rPr>
          <w:sz w:val="20"/>
          <w:szCs w:val="20"/>
        </w:rPr>
        <w:t>Startreck</w:t>
      </w:r>
      <w:proofErr w:type="spellEnd"/>
      <w:r w:rsidRPr="00F10134">
        <w:rPr>
          <w:sz w:val="20"/>
          <w:szCs w:val="20"/>
        </w:rPr>
        <w:t xml:space="preserve"> (putování lodi </w:t>
      </w:r>
      <w:proofErr w:type="spellStart"/>
      <w:r w:rsidRPr="00F10134">
        <w:rPr>
          <w:sz w:val="20"/>
          <w:szCs w:val="20"/>
        </w:rPr>
        <w:t>Enterprise</w:t>
      </w:r>
      <w:proofErr w:type="spellEnd"/>
      <w:r w:rsidRPr="00F10134">
        <w:rPr>
          <w:sz w:val="20"/>
          <w:szCs w:val="20"/>
        </w:rPr>
        <w:t xml:space="preserve"> připomíná Odysseu); Superman (dnešní Herakles), atd. </w:t>
      </w:r>
      <w:r w:rsidRPr="00F10134">
        <w:rPr>
          <w:i/>
          <w:iCs/>
          <w:sz w:val="20"/>
          <w:szCs w:val="20"/>
        </w:rPr>
        <w:t>str. 106-108</w:t>
      </w:r>
    </w:p>
    <w:p w:rsidR="00B20F5B" w:rsidRDefault="00B20F5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BC"/>
    <w:rsid w:val="00086538"/>
    <w:rsid w:val="000D582F"/>
    <w:rsid w:val="000E5AE5"/>
    <w:rsid w:val="001F30BC"/>
    <w:rsid w:val="00307649"/>
    <w:rsid w:val="00405BC5"/>
    <w:rsid w:val="004279D0"/>
    <w:rsid w:val="00597365"/>
    <w:rsid w:val="005E14EA"/>
    <w:rsid w:val="00653E3C"/>
    <w:rsid w:val="006C5957"/>
    <w:rsid w:val="00786115"/>
    <w:rsid w:val="007C2C78"/>
    <w:rsid w:val="007E53A0"/>
    <w:rsid w:val="008D6492"/>
    <w:rsid w:val="00917CE2"/>
    <w:rsid w:val="009A292A"/>
    <w:rsid w:val="009F45E2"/>
    <w:rsid w:val="00B20F5B"/>
    <w:rsid w:val="00CA29F3"/>
    <w:rsid w:val="00CB053F"/>
    <w:rsid w:val="00D42593"/>
    <w:rsid w:val="00F10134"/>
    <w:rsid w:val="00F94710"/>
    <w:rsid w:val="00FC4FE5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30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0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0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30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5E2"/>
  </w:style>
  <w:style w:type="paragraph" w:styleId="Zpat">
    <w:name w:val="footer"/>
    <w:basedOn w:val="Normln"/>
    <w:link w:val="Zpat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05B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5BC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5BC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A2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9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30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0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0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30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5E2"/>
  </w:style>
  <w:style w:type="paragraph" w:styleId="Zpat">
    <w:name w:val="footer"/>
    <w:basedOn w:val="Normln"/>
    <w:link w:val="Zpat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05B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5BC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5BC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A2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BFF2-7C9B-4B81-8410-F249DA7D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Markéta Jelínková</cp:lastModifiedBy>
  <cp:revision>3</cp:revision>
  <dcterms:created xsi:type="dcterms:W3CDTF">2013-01-12T18:03:00Z</dcterms:created>
  <dcterms:modified xsi:type="dcterms:W3CDTF">2013-01-12T18:45:00Z</dcterms:modified>
</cp:coreProperties>
</file>