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Übung NJII_7274: Die Presselandschaft in Deutschland / Lektüre, Übersetzung und Vergleich</w:t>
      </w:r>
    </w:p>
    <w:p>
      <w:pPr>
        <w:pStyle w:val="style0"/>
        <w:spacing w:after="120" w:before="0" w:line="100" w:lineRule="atLeast"/>
        <w:contextualSpacing w:val="false"/>
      </w:pPr>
      <w:r>
        <w:rPr>
          <w:b/>
          <w:lang w:val="de-DE"/>
        </w:rPr>
        <w:t>Referatsthemen  für die zweite Semesterhälfte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31.10.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Die Welt: Bilova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07.11.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Die Spiegel Affäre: Sinkovská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Der Stern und der Kauf gefälschter Hitler-Tagebücher: Musilová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(deutscher) Pressespiegel zur Parlaments-Wahl in Tschechien 2013: Holubová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14.11.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Reaktionen der Presse auf die Wahl von Joseph Ratzinger zum Papst: Machalínková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Regionale Tageszeitungen. Themen und Zielgruppe:  Holcmannova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21.11.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Die Taz: Kupkova</w:t>
      </w:r>
    </w:p>
    <w:p>
      <w:pPr>
        <w:pStyle w:val="style0"/>
        <w:tabs>
          <w:tab w:leader="none" w:pos="3990" w:val="left"/>
        </w:tabs>
        <w:spacing w:after="120" w:before="0" w:line="100" w:lineRule="atLeast"/>
        <w:contextualSpacing w:val="false"/>
      </w:pPr>
      <w:r>
        <w:rPr>
          <w:lang w:val="de-DE"/>
        </w:rPr>
        <w:t>Die Titanic und „Die Partei“: Sinkovska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28.11.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Soziale Zeitungen: Skornova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Uni-Versionen etablierter Wochenzeitungen: Ne</w:t>
      </w:r>
      <w:r>
        <w:rPr>
          <w:lang w:val="cs-CZ"/>
        </w:rPr>
        <w:t>časová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Die Apotheken-Rundschau:</w:t>
      </w:r>
      <w:bookmarkStart w:id="0" w:name="_GoBack"/>
      <w:bookmarkEnd w:id="0"/>
      <w:r>
        <w:rPr>
          <w:lang w:val="de-DE"/>
        </w:rPr>
        <w:t xml:space="preserve"> Kovacova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05.12.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Presselandschaft in Österreich: Weikova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Presselandschaft in der Schweiz: Holcmannova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Pressespiegel zum NSU-Skandal: Machalinkova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12.12.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Pressespiegel zum Reaktorunglück in Fukushima: Musilová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Pressespiegel zur Fussball-WM 2006: Semih Murić</w:t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</w:r>
    </w:p>
    <w:p>
      <w:pPr>
        <w:pStyle w:val="style0"/>
        <w:spacing w:after="120" w:before="0" w:line="100" w:lineRule="atLeast"/>
        <w:contextualSpacing w:val="false"/>
      </w:pPr>
      <w:r>
        <w:rPr>
          <w:lang w:val="de-DE"/>
        </w:rPr>
        <w:t>Für Ihr zweites Referat gelten die gleichen Vorgaben wie für das erste (5 Minuten, Handout), allerdings sollten Sie folgende Details beachten:</w:t>
      </w:r>
    </w:p>
    <w:p>
      <w:pPr>
        <w:pStyle w:val="style31"/>
        <w:numPr>
          <w:ilvl w:val="0"/>
          <w:numId w:val="1"/>
        </w:numPr>
        <w:spacing w:after="120" w:before="0" w:line="100" w:lineRule="atLeast"/>
        <w:contextualSpacing/>
      </w:pPr>
      <w:r>
        <w:rPr>
          <w:lang w:val="de-DE"/>
        </w:rPr>
        <w:t>Erklären Sie wichtige Wörter, die Ihren Kommilitonen nicht bekannt sind, nutzen Sie hierfür auch das Handout</w:t>
      </w:r>
    </w:p>
    <w:p>
      <w:pPr>
        <w:pStyle w:val="style31"/>
        <w:numPr>
          <w:ilvl w:val="0"/>
          <w:numId w:val="1"/>
        </w:numPr>
        <w:spacing w:after="120" w:before="0" w:line="100" w:lineRule="atLeast"/>
        <w:contextualSpacing/>
      </w:pPr>
      <w:r>
        <w:rPr>
          <w:lang w:val="de-DE"/>
        </w:rPr>
        <w:t>Gestalten Sie das Handout so, dass es einen professionellen Eindruck macht (einheitlicher Schriftsatz, Kopfzeile mit Nennung von Datum und Referent, Unterteilung in Sinnabschnitte, Angabe der verwendeten Quellen)</w:t>
      </w:r>
    </w:p>
    <w:p>
      <w:pPr>
        <w:pStyle w:val="style31"/>
        <w:numPr>
          <w:ilvl w:val="0"/>
          <w:numId w:val="1"/>
        </w:numPr>
        <w:spacing w:after="120" w:before="0" w:line="100" w:lineRule="atLeast"/>
        <w:contextualSpacing/>
      </w:pPr>
      <w:r>
        <w:rPr>
          <w:lang w:val="de-DE"/>
        </w:rPr>
        <w:t xml:space="preserve">Kommen Sie bitte vor dem Referat in meine Sprechstunde zur Besprechung </w:t>
      </w:r>
    </w:p>
    <w:sectPr>
      <w:type w:val="nextPage"/>
      <w:pgSz w:h="15840" w:w="12240"/>
      <w:pgMar w:bottom="1440" w:footer="0" w:gutter="0" w:header="0" w:left="1440" w:right="1440" w:top="720"/>
      <w:pgNumType w:fmt="decimal"/>
      <w:formProt w:val="false"/>
      <w:textDirection w:val="lrTb"/>
      <w:docGrid w:charSpace="2867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Calibri">
    <w:charset w:val="80"/>
    <w:family w:val="swiss"/>
    <w:pitch w:val="default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overflowPunct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alibri" w:eastAsia="SimSun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ListLabel 3"/>
    <w:next w:val="style18"/>
    <w:rPr>
      <w:rFonts w:cs="Calibri"/>
    </w:rPr>
  </w:style>
  <w:style w:styleId="style19" w:type="character">
    <w:name w:val="ListLabel 4"/>
    <w:next w:val="style19"/>
    <w:rPr>
      <w:rFonts w:cs="Courier New"/>
    </w:rPr>
  </w:style>
  <w:style w:styleId="style20" w:type="character">
    <w:name w:val="ListLabel 5"/>
    <w:next w:val="style20"/>
    <w:rPr>
      <w:rFonts w:cs="Wingdings"/>
    </w:rPr>
  </w:style>
  <w:style w:styleId="style21" w:type="character">
    <w:name w:val="ListLabel 6"/>
    <w:next w:val="style21"/>
    <w:rPr>
      <w:rFonts w:cs="Symbol"/>
    </w:rPr>
  </w:style>
  <w:style w:styleId="style22" w:type="character">
    <w:name w:val="ListLabel 7"/>
    <w:next w:val="style22"/>
    <w:rPr>
      <w:rFonts w:cs="Calibri"/>
    </w:rPr>
  </w:style>
  <w:style w:styleId="style23" w:type="character">
    <w:name w:val="ListLabel 8"/>
    <w:next w:val="style23"/>
    <w:rPr>
      <w:rFonts w:cs="Courier New"/>
    </w:rPr>
  </w:style>
  <w:style w:styleId="style24" w:type="character">
    <w:name w:val="ListLabel 9"/>
    <w:next w:val="style24"/>
    <w:rPr>
      <w:rFonts w:cs="Wingdings"/>
    </w:rPr>
  </w:style>
  <w:style w:styleId="style25" w:type="character">
    <w:name w:val="ListLabel 10"/>
    <w:next w:val="style25"/>
    <w:rPr>
      <w:rFonts w:cs="Symbol"/>
    </w:rPr>
  </w:style>
  <w:style w:styleId="style26" w:type="paragraph">
    <w:name w:val="Überschrift"/>
    <w:basedOn w:val="style0"/>
    <w:next w:val="style2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7" w:type="paragraph">
    <w:name w:val="Textkörper"/>
    <w:basedOn w:val="style0"/>
    <w:next w:val="style27"/>
    <w:pPr>
      <w:spacing w:after="120" w:before="0"/>
      <w:contextualSpacing w:val="false"/>
    </w:pPr>
    <w:rPr/>
  </w:style>
  <w:style w:styleId="style28" w:type="paragraph">
    <w:name w:val="Liste"/>
    <w:basedOn w:val="style27"/>
    <w:next w:val="style28"/>
    <w:pPr/>
    <w:rPr>
      <w:rFonts w:cs="Mangal"/>
    </w:rPr>
  </w:style>
  <w:style w:styleId="style29" w:type="paragraph">
    <w:name w:val="Beschriftung"/>
    <w:basedOn w:val="style0"/>
    <w:next w:val="style2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0" w:type="paragraph">
    <w:name w:val="Verzeichnis"/>
    <w:basedOn w:val="style0"/>
    <w:next w:val="style30"/>
    <w:pPr>
      <w:suppressLineNumbers/>
    </w:pPr>
    <w:rPr>
      <w:rFonts w:cs="Mangal"/>
    </w:rPr>
  </w:style>
  <w:style w:styleId="style31" w:type="paragraph">
    <w:name w:val="List Paragraph"/>
    <w:basedOn w:val="style0"/>
    <w:next w:val="style3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2013-10-24T17:47:00.00Z</dcterms:created>
  <dc:creator>Florian Förster</dc:creator>
  <cp:lastModifiedBy>Florian Förster</cp:lastModifiedBy>
  <cp:lastPrinted>2013-10-31T14:10:00.00Z</cp:lastPrinted>
  <dcterms:modified xsi:type="dcterms:W3CDTF">2013-11-07T14:39:00.00Z</dcterms:modified>
  <cp:revision>5</cp:revision>
</cp:coreProperties>
</file>