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spacing w:after="120" w:before="240"/>
        <w:contextualSpacing w:val="false"/>
        <w:rPr/>
      </w:pPr>
      <w:r>
        <w:rPr/>
        <w:t>Europäisches Parlament</w:t>
      </w:r>
    </w:p>
    <w:p>
      <w:pPr>
        <w:pStyle w:val="style19"/>
        <w:rPr/>
      </w:pPr>
      <w:r>
        <w:rPr/>
        <w:t>Die Mitglieder des Europäischen Parlaments sind die Vertreter der europäischen Bürgerinnen und Bürger. Sie werden in direkten Wahlen alle fünf Jahre neu gewählt. Gemeinsam mit dem Rat der Europäischen Union („der Rat“) bildet das Parlament die gesetzgebende Gewalt der EU.</w:t>
      </w:r>
    </w:p>
    <w:p>
      <w:pPr>
        <w:pStyle w:val="style19"/>
        <w:rPr/>
      </w:pPr>
      <w:r>
        <w:rPr/>
        <w:t>Das Europäische Parlament hat drei wichtige Aufgaben:</w:t>
      </w:r>
    </w:p>
    <w:p>
      <w:pPr>
        <w:pStyle w:val="style19"/>
        <w:numPr>
          <w:ilvl w:val="0"/>
          <w:numId w:val="1"/>
        </w:numPr>
        <w:tabs>
          <w:tab w:leader="none" w:pos="0" w:val="left"/>
        </w:tabs>
        <w:spacing w:after="0" w:before="0"/>
        <w:ind w:hanging="283" w:left="707" w:right="0"/>
        <w:contextualSpacing w:val="false"/>
        <w:rPr/>
      </w:pPr>
      <w:r>
        <w:rPr/>
        <w:t xml:space="preserve">Erörterung und Verabschiedung von EU-Rechtsvorschriften, in Zusammenarbeit mit dem Rat </w:t>
      </w:r>
    </w:p>
    <w:p>
      <w:pPr>
        <w:pStyle w:val="style19"/>
        <w:numPr>
          <w:ilvl w:val="0"/>
          <w:numId w:val="1"/>
        </w:numPr>
        <w:tabs>
          <w:tab w:leader="none" w:pos="0" w:val="left"/>
        </w:tabs>
        <w:spacing w:after="0" w:before="0"/>
        <w:ind w:hanging="283" w:left="707" w:right="0"/>
        <w:contextualSpacing w:val="false"/>
        <w:rPr/>
      </w:pPr>
      <w:r>
        <w:rPr/>
        <w:t xml:space="preserve">Kontrolle anderer EU-Institutionen, insbesondere der Kommission, um eine demokratische Arbeitsweise zu gewährleisten </w:t>
      </w:r>
    </w:p>
    <w:p>
      <w:pPr>
        <w:pStyle w:val="style19"/>
        <w:numPr>
          <w:ilvl w:val="0"/>
          <w:numId w:val="1"/>
        </w:numPr>
        <w:tabs>
          <w:tab w:leader="none" w:pos="0" w:val="left"/>
        </w:tabs>
        <w:ind w:hanging="283" w:left="707" w:right="0"/>
        <w:rPr/>
      </w:pPr>
      <w:r>
        <w:rPr/>
        <w:t xml:space="preserve">Erörterung und Verabschiedung des EU-Haushalts, in Zusammenarbeit mit dem Rat. </w:t>
      </w:r>
    </w:p>
    <w:p>
      <w:pPr>
        <w:pStyle w:val="style19"/>
        <w:rPr/>
      </w:pPr>
      <w:hyperlink r:id="rId2">
        <w:r>
          <w:rPr>
            <w:rStyle w:val="style16"/>
          </w:rPr>
          <w:t>Jährlicher Sitzungskalender</w:t>
        </w:r>
      </w:hyperlink>
      <w:r>
        <w:rPr/>
        <w:t xml:space="preserve"> </w:t>
      </w:r>
    </w:p>
    <w:p>
      <w:pPr>
        <w:pStyle w:val="style3"/>
        <w:rPr/>
      </w:pPr>
      <w:r>
        <w:rPr/>
        <w:t>Verabschiedung von EU-Rechtsvorschriften</w:t>
      </w:r>
    </w:p>
    <w:p>
      <w:pPr>
        <w:pStyle w:val="style19"/>
        <w:rPr/>
      </w:pPr>
      <w:r>
        <w:rPr/>
        <w:t xml:space="preserve">In vielen Bereichen wie Verbraucherschutz und Umwelt arbeitet das Parlament gemeinsam mit dem Rat (Vertreter der nationalen Regierungen) an der inhaltlichen Ausgestaltung der EU-Rechtsvorschriften, bis diese schließlich gemeinsam verabschiedet werden. Dieses Verfahren wird als </w:t>
      </w:r>
      <w:hyperlink r:id="rId3">
        <w:r>
          <w:rPr>
            <w:rStyle w:val="style16"/>
          </w:rPr>
          <w:t>ordentliches Gesetzgebungsverfahren</w:t>
        </w:r>
      </w:hyperlink>
      <w:r>
        <w:rPr/>
        <w:t xml:space="preserve"> bezeichnet (vorher: Mitentscheidungsverfahren).</w:t>
      </w:r>
    </w:p>
    <w:p>
      <w:pPr>
        <w:pStyle w:val="style19"/>
        <w:rPr/>
      </w:pPr>
      <w:r>
        <w:rPr/>
        <w:t>Mit dem Vertrag von Lissabon wurde die Bandbreite der Politikbereiche erweitert, in denen die Rechtsvorschriften im „ordentlichen Gesetzgebungsverfahren“ verabschiedet werden. Dadurch hat das Parlament mehr Einfluss auf den Inhalt der Rechtsvorschriften in Bereichen wie Landwirtschaft, Energiepolitik, Einwanderung und Finanzen.</w:t>
      </w:r>
    </w:p>
    <w:p>
      <w:pPr>
        <w:pStyle w:val="style19"/>
        <w:rPr/>
      </w:pPr>
      <w:r>
        <w:rPr/>
        <w:t>Das Parlament muss auch bei anderen wichtigen Entscheidungen seine Zustimmung geben, etwa wenn es um den Beitritt neuer Länder zur EU geht.</w:t>
      </w:r>
    </w:p>
    <w:p>
      <w:pPr>
        <w:pStyle w:val="style3"/>
        <w:rPr/>
      </w:pPr>
      <w:r>
        <w:rPr/>
        <w:t>Demokratische Kontrolle</w:t>
      </w:r>
    </w:p>
    <w:p>
      <w:pPr>
        <w:pStyle w:val="style19"/>
        <w:rPr/>
      </w:pPr>
      <w:r>
        <w:rPr/>
        <w:t>Das Parlament übt auf verschiedene Art und Weise Einfluss auf andere europäische Institutionen aus.</w:t>
      </w:r>
    </w:p>
    <w:p>
      <w:pPr>
        <w:pStyle w:val="style19"/>
        <w:rPr/>
      </w:pPr>
      <w:r>
        <w:rPr/>
        <w:t>Wenn eine neue Kommission bestellt wird, können ihre 28 Mitglieder – eines aus jedem EU-Land – ihr Amt erst dann antreten, wenn das Parlament seine Zustimmung gegeben hat. Lehnt das Parlament einen Kandidaten ab, kann es auch die Kommission insgesamt ablehnen.</w:t>
      </w:r>
    </w:p>
    <w:p>
      <w:pPr>
        <w:pStyle w:val="style19"/>
        <w:rPr/>
      </w:pPr>
      <w:r>
        <w:rPr/>
        <w:t>Das Parlament kann die Kommission auch während ihrer Amtszeit auffordern zurückzutreten. Dazu bedarf es eines Misstrauensantrags.</w:t>
      </w:r>
    </w:p>
    <w:p>
      <w:pPr>
        <w:pStyle w:val="style19"/>
        <w:rPr/>
      </w:pPr>
      <w:r>
        <w:rPr/>
        <w:t>Das Parlament behält die Kontrolle über die Kommission, indem es Berichte der Kommission prüft und Anfragen an die Kommissare richtet. In dieser Hinsicht spielen die parlamentarischen Ausschüsse eine große Rolle.</w:t>
      </w:r>
    </w:p>
    <w:p>
      <w:pPr>
        <w:pStyle w:val="style19"/>
        <w:rPr/>
      </w:pPr>
      <w:r>
        <w:rPr/>
        <w:t>Die Mitglieder des Parlaments bearbeiten Petitionen der EU-Bürgerinnen und -Bürger und setzen Untersuchungsausschüsse ein.</w:t>
      </w:r>
    </w:p>
    <w:p>
      <w:pPr>
        <w:pStyle w:val="style19"/>
        <w:rPr/>
      </w:pPr>
      <w:r>
        <w:rPr/>
        <w:t>Vor einem Gipfel der europäischen Staats- und Regierungschefs nimmt das Parlament Stellung zu den Tagesordnungspunkten.</w:t>
      </w:r>
    </w:p>
    <w:p>
      <w:pPr>
        <w:pStyle w:val="style3"/>
        <w:rPr/>
      </w:pPr>
      <w:r>
        <w:rPr/>
        <w:t>Haushaltskontrolle</w:t>
      </w:r>
    </w:p>
    <w:p>
      <w:pPr>
        <w:pStyle w:val="style19"/>
        <w:rPr/>
      </w:pPr>
      <w:r>
        <w:rPr/>
        <w:t>Das Parlament verabschiedet jährlich gemeinsam mit dem Rat der Europäischen Union den EU-Haushalt.</w:t>
      </w:r>
    </w:p>
    <w:p>
      <w:pPr>
        <w:pStyle w:val="style19"/>
        <w:rPr/>
      </w:pPr>
      <w:r>
        <w:rPr/>
        <w:t>Der Haushaltsausschuss des Parlaments kontrolliert, wie die Haushaltsmittel ausgegeben werden, und beurteilt jedes Jahr den Umgang der Kommission mit dem Vorjahreshaushalt.</w:t>
      </w:r>
    </w:p>
    <w:p>
      <w:pPr>
        <w:pStyle w:val="style3"/>
        <w:rPr/>
      </w:pPr>
      <w:r>
        <w:rPr/>
        <w:t>Zusammensetzung</w:t>
      </w:r>
    </w:p>
    <w:p>
      <w:pPr>
        <w:pStyle w:val="style19"/>
        <w:rPr/>
      </w:pPr>
      <w:r>
        <w:rPr/>
        <w:t xml:space="preserve">Grob gesagt richtet sich die Anzahl der </w:t>
      </w:r>
      <w:hyperlink r:id="rId4">
        <w:r>
          <w:rPr>
            <w:rStyle w:val="style16"/>
          </w:rPr>
          <w:t>Abgeordneten</w:t>
        </w:r>
      </w:hyperlink>
      <w:r>
        <w:rPr/>
        <w:t xml:space="preserve"> pro Land </w:t>
      </w:r>
      <w:r>
        <w:rPr>
          <w:rStyle w:val="style17"/>
        </w:rPr>
        <w:t>nach der jeweiligen Bevölkerungszahl</w:t>
      </w:r>
      <w:r>
        <w:rPr/>
        <w:t xml:space="preserve">. Kein Land kann weniger als sechs oder mehr als 96 Abgeordnete haben, und die Gesamtzahl der Abgeordneten darf 751 (750 plus Präsident/-in) nicht überschreiten. Die Mitglieder des Parlaments sind nach </w:t>
      </w:r>
      <w:hyperlink r:id="rId5">
        <w:r>
          <w:rPr>
            <w:rStyle w:val="style16"/>
          </w:rPr>
          <w:t>Fraktionen</w:t>
        </w:r>
      </w:hyperlink>
      <w:r>
        <w:rPr/>
        <w:t xml:space="preserve"> und nicht nach Herkunftsland gruppiert.</w:t>
      </w:r>
    </w:p>
    <w:p>
      <w:pPr>
        <w:pStyle w:val="style3"/>
        <w:rPr/>
      </w:pPr>
      <w:r>
        <w:rPr/>
        <w:t>Ort</w:t>
      </w:r>
    </w:p>
    <w:p>
      <w:pPr>
        <w:pStyle w:val="style19"/>
        <w:rPr/>
      </w:pPr>
      <w:r>
        <w:rPr/>
        <w:t>Das Europäische Parlament ist an drei Orten vertreten – Brüssel (Belgien), Luxemburg und Straßburg (Frankreich).</w:t>
      </w:r>
    </w:p>
    <w:p>
      <w:pPr>
        <w:pStyle w:val="style19"/>
        <w:rPr/>
      </w:pPr>
      <w:r>
        <w:rPr/>
        <w:t>In Luxemburg befinden sich die Verwaltungsstellen des Parlaments (Generalsekretariat).</w:t>
      </w:r>
    </w:p>
    <w:p>
      <w:pPr>
        <w:pStyle w:val="style19"/>
        <w:rPr/>
      </w:pPr>
      <w:r>
        <w:rPr/>
        <w:t>Die Plenartagungen finden in Straßburg und Brüssel statt. Die Ausschüsse halten ihre Sitzungen ebenfalls in Brüssel ab.</w:t>
      </w:r>
    </w:p>
    <w:p>
      <w:pPr>
        <w:pStyle w:val="style0"/>
        <w:rPr/>
      </w:pPr>
      <w:r>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Liberation Serif" w:cs="Lohit Hindi" w:eastAsia="DejaVu Sans" w:hAnsi="Liberation Serif"/>
      <w:color w:val="auto"/>
      <w:sz w:val="24"/>
      <w:szCs w:val="24"/>
      <w:lang w:bidi="hi-IN" w:eastAsia="zh-CN" w:val="cs-CZ"/>
    </w:rPr>
  </w:style>
  <w:style w:styleId="style1" w:type="paragraph">
    <w:name w:val="Nadpis 1"/>
    <w:basedOn w:val="style18"/>
    <w:next w:val="style19"/>
    <w:pPr/>
    <w:rPr>
      <w:rFonts w:ascii="Liberation Serif" w:cs="Lohit Hindi" w:eastAsia="DejaVu Sans" w:hAnsi="Liberation Serif"/>
      <w:b/>
      <w:bCs/>
      <w:sz w:val="48"/>
      <w:szCs w:val="48"/>
    </w:rPr>
  </w:style>
  <w:style w:styleId="style3" w:type="paragraph">
    <w:name w:val="Nadpis 3"/>
    <w:basedOn w:val="style18"/>
    <w:next w:val="style19"/>
    <w:pPr/>
    <w:rPr>
      <w:rFonts w:ascii="Liberation Serif" w:cs="Lohit Hindi" w:eastAsia="DejaVu Sans" w:hAnsi="Liberation Serif"/>
      <w:b/>
      <w:bCs/>
      <w:sz w:val="28"/>
      <w:szCs w:val="28"/>
    </w:rPr>
  </w:style>
  <w:style w:styleId="style15" w:type="character">
    <w:name w:val="Odrážky"/>
    <w:next w:val="style15"/>
    <w:rPr>
      <w:rFonts w:ascii="OpenSymbol" w:cs="OpenSymbol" w:eastAsia="OpenSymbol" w:hAnsi="OpenSymbol"/>
    </w:rPr>
  </w:style>
  <w:style w:styleId="style16" w:type="character">
    <w:name w:val="Internetový odkaz"/>
    <w:next w:val="style16"/>
    <w:rPr>
      <w:color w:val="000080"/>
      <w:u w:val="single"/>
      <w:lang w:bidi="zxx-" w:eastAsia="zxx-" w:val="zxx-"/>
    </w:rPr>
  </w:style>
  <w:style w:styleId="style17" w:type="character">
    <w:name w:val="Silné zdůraznění"/>
    <w:next w:val="style17"/>
    <w:rPr>
      <w:b/>
      <w:bCs/>
    </w:rPr>
  </w:style>
  <w:style w:styleId="style18" w:type="paragraph">
    <w:name w:val="Nadpis"/>
    <w:basedOn w:val="style0"/>
    <w:next w:val="style19"/>
    <w:pPr>
      <w:keepNext/>
      <w:spacing w:after="120" w:before="240"/>
      <w:contextualSpacing w:val="false"/>
    </w:pPr>
    <w:rPr>
      <w:rFonts w:ascii="Liberation Sans" w:cs="Lohit Hindi" w:eastAsia="DejaVu Sans" w:hAnsi="Liberation Sans"/>
      <w:sz w:val="28"/>
      <w:szCs w:val="28"/>
    </w:rPr>
  </w:style>
  <w:style w:styleId="style19" w:type="paragraph">
    <w:name w:val="Tělo textu"/>
    <w:basedOn w:val="style0"/>
    <w:next w:val="style19"/>
    <w:pPr>
      <w:spacing w:after="120" w:before="0"/>
      <w:contextualSpacing w:val="false"/>
    </w:pPr>
    <w:rPr/>
  </w:style>
  <w:style w:styleId="style20" w:type="paragraph">
    <w:name w:val="Seznam"/>
    <w:basedOn w:val="style19"/>
    <w:next w:val="style20"/>
    <w:pPr/>
    <w:rPr>
      <w:rFonts w:cs="Lohit Hindi"/>
    </w:rPr>
  </w:style>
  <w:style w:styleId="style21" w:type="paragraph">
    <w:name w:val="Popisek"/>
    <w:basedOn w:val="style0"/>
    <w:next w:val="style21"/>
    <w:pPr>
      <w:suppressLineNumbers/>
      <w:spacing w:after="120" w:before="120"/>
      <w:contextualSpacing w:val="false"/>
    </w:pPr>
    <w:rPr>
      <w:rFonts w:cs="Lohit Hindi"/>
      <w:i/>
      <w:iCs/>
      <w:sz w:val="24"/>
      <w:szCs w:val="24"/>
    </w:rPr>
  </w:style>
  <w:style w:styleId="style22" w:type="paragraph">
    <w:name w:val="Rejstřík"/>
    <w:basedOn w:val="style0"/>
    <w:next w:val="style22"/>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uroparl.europa.eu/plenary/de/agendas.html" TargetMode="External"/><Relationship Id="rId3" Type="http://schemas.openxmlformats.org/officeDocument/2006/relationships/hyperlink" Target="http://www.europarl.europa.eu/parliament/public/staticDisplay.do?language=DE&amp;pageRank=3&amp;id=46" TargetMode="External"/><Relationship Id="rId4" Type="http://schemas.openxmlformats.org/officeDocument/2006/relationships/hyperlink" Target="http://www.europarl.europa.eu/meps/de/map.html" TargetMode="External"/><Relationship Id="rId5" Type="http://schemas.openxmlformats.org/officeDocument/2006/relationships/hyperlink" Target="http://www.europarl.europa.eu/meps/de/crosstable.htm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LibreOffice/4.1.3.2$Linux_X86_64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2014-10-07T10:30:31Z</dcterms:created>
  <cp:revision>0</cp:revision>
</cp:coreProperties>
</file>