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spacing w:lineRule="auto" w:line="276" w:before="0" w:after="200"/>
        <w:contextualSpacing/>
        <w:jc w:val="center"/>
        <w:rPr>
          <w:rFonts w:eastAsia="Calibri" w:ascii="Cambria" w:hAnsi="Cambria"/>
          <w:sz w:val="44"/>
          <w:szCs w:val="44"/>
          <w:lang w:eastAsia="en-US"/>
        </w:rPr>
      </w:pPr>
      <w:r>
        <w:rPr>
          <w:rFonts w:eastAsia="Calibri" w:ascii="Cambria" w:hAnsi="Cambria"/>
          <w:sz w:val="44"/>
          <w:szCs w:val="44"/>
          <w:lang w:eastAsia="en-US"/>
        </w:rPr>
        <w:t>Memorandum o spolupráci</w:t>
      </w:r>
    </w:p>
    <w:p>
      <w:pPr>
        <w:pStyle w:val="Normal"/>
        <w:widowControl/>
        <w:spacing w:lineRule="auto" w:line="276" w:before="0" w:after="200"/>
        <w:contextualSpacing/>
        <w:jc w:val="center"/>
        <w:rPr>
          <w:rFonts w:eastAsia="Calibri" w:ascii="Cambria" w:hAnsi="Cambria"/>
          <w:i/>
          <w:sz w:val="22"/>
          <w:szCs w:val="22"/>
          <w:lang w:eastAsia="en-US"/>
        </w:rPr>
      </w:pPr>
      <w:r>
        <w:rPr>
          <w:rFonts w:eastAsia="Calibri" w:ascii="Cambria" w:hAnsi="Cambria"/>
          <w:i/>
          <w:sz w:val="22"/>
          <w:szCs w:val="22"/>
          <w:lang w:eastAsia="en-US"/>
        </w:rPr>
        <w:t xml:space="preserve">(dále jen “Memorandum”) uzavřeno dne …………… v …………… mezi:  </w:t>
      </w:r>
    </w:p>
    <w:p>
      <w:pPr>
        <w:pStyle w:val="Normal"/>
        <w:widowControl/>
        <w:spacing w:lineRule="auto" w:line="276" w:before="0" w:after="200"/>
        <w:rPr>
          <w:rFonts w:eastAsia="Calibri" w:ascii="Cambria" w:hAnsi="Cambria"/>
          <w:i/>
          <w:sz w:val="22"/>
          <w:szCs w:val="22"/>
          <w:u w:val="single"/>
          <w:lang w:eastAsia="en-US"/>
        </w:rPr>
      </w:pPr>
      <w:r>
        <w:rPr>
          <w:rFonts w:eastAsia="Calibri" w:ascii="Cambria" w:hAnsi="Cambria"/>
          <w:i/>
          <w:sz w:val="22"/>
          <w:szCs w:val="22"/>
          <w:u w:val="single"/>
          <w:lang w:eastAsia="en-US"/>
        </w:rPr>
      </w:r>
    </w:p>
    <w:p>
      <w:pPr>
        <w:pStyle w:val="Normal"/>
        <w:jc w:val="both"/>
        <w:rPr>
          <w:rFonts w:eastAsia="Calibri" w:ascii="Cambria" w:hAnsi="Cambria"/>
          <w:sz w:val="22"/>
          <w:szCs w:val="22"/>
          <w:lang w:eastAsia="en-US"/>
        </w:rPr>
      </w:pPr>
      <w:r>
        <w:rPr>
          <w:rFonts w:eastAsia="Calibri" w:ascii="Cambria" w:hAnsi="Cambria"/>
          <w:b/>
          <w:sz w:val="22"/>
          <w:szCs w:val="22"/>
          <w:lang w:eastAsia="en-US"/>
        </w:rPr>
        <w:t>General Spol. a.s.</w:t>
      </w:r>
      <w:r>
        <w:rPr>
          <w:rFonts w:eastAsia="Calibri" w:ascii="Cambria" w:hAnsi="Cambria"/>
          <w:sz w:val="22"/>
          <w:szCs w:val="22"/>
          <w:lang w:eastAsia="en-US"/>
        </w:rPr>
        <w:t>, se sídlem Klimentská 1216/46, Plzeň 410 02, IČ: 289 18 794, zapsaná v obchodním rejstříku vedeném Městským soudem v Praze, oddíl B, vložka 15881, jednající Ing. Alešem Szchým – předsedou představenstva</w:t>
      </w:r>
    </w:p>
    <w:p>
      <w:pPr>
        <w:pStyle w:val="Normal"/>
        <w:jc w:val="both"/>
        <w:rPr>
          <w:rFonts w:eastAsia="Calibri" w:ascii="Cambria" w:hAnsi="Cambria"/>
          <w:sz w:val="22"/>
          <w:szCs w:val="22"/>
          <w:lang w:eastAsia="en-US"/>
        </w:rPr>
      </w:pPr>
      <w:r>
        <w:rPr>
          <w:rFonts w:eastAsia="Calibri" w:ascii="Cambria" w:hAnsi="Cambria"/>
          <w:sz w:val="22"/>
          <w:szCs w:val="22"/>
          <w:lang w:eastAsia="en-US"/>
        </w:rPr>
      </w:r>
    </w:p>
    <w:p>
      <w:pPr>
        <w:pStyle w:val="Normal"/>
        <w:rPr>
          <w:rFonts w:eastAsia="Calibri" w:ascii="Cambria" w:hAnsi="Cambria"/>
          <w:sz w:val="22"/>
          <w:szCs w:val="22"/>
          <w:lang w:eastAsia="en-US"/>
        </w:rPr>
      </w:pPr>
      <w:r>
        <w:rPr>
          <w:rFonts w:eastAsia="Calibri" w:ascii="Cambria" w:hAnsi="Cambria"/>
          <w:b/>
          <w:sz w:val="22"/>
          <w:szCs w:val="22"/>
          <w:lang w:eastAsia="en-US"/>
        </w:rPr>
        <w:t xml:space="preserve"> </w:t>
      </w:r>
      <w:r>
        <w:rPr>
          <w:rFonts w:eastAsia="Calibri" w:ascii="Cambria" w:hAnsi="Cambria"/>
          <w:sz w:val="22"/>
          <w:szCs w:val="22"/>
          <w:lang w:eastAsia="en-US"/>
        </w:rPr>
        <w:t>(dále jen „</w:t>
      </w:r>
      <w:r>
        <w:rPr>
          <w:rFonts w:eastAsia="Calibri" w:ascii="Cambria" w:hAnsi="Cambria"/>
          <w:b/>
          <w:sz w:val="22"/>
          <w:szCs w:val="22"/>
          <w:lang w:eastAsia="en-US"/>
        </w:rPr>
        <w:t>General</w:t>
      </w:r>
      <w:r>
        <w:rPr>
          <w:rFonts w:eastAsia="Calibri" w:ascii="Cambria" w:hAnsi="Cambria"/>
          <w:sz w:val="22"/>
          <w:szCs w:val="22"/>
          <w:lang w:eastAsia="en-US"/>
        </w:rPr>
        <w:t>“)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Gidroenergo LLC</w:t>
      </w:r>
      <w:r>
        <w:rPr>
          <w:rFonts w:ascii="Cambria" w:hAnsi="Cambria"/>
          <w:sz w:val="22"/>
          <w:szCs w:val="22"/>
        </w:rPr>
        <w:t>, společnost s ručením omezeným založená dle práva Ruské Federace, Tax ID: 6330003846, PSRN 1116330000997, se sídlem na ul. Mičurina č. 60, Smyšlajevka 443548, Samarská oblast, Volžský rajón, jednající panem Valerijem Čekmarěvem - jednatelem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</w:t>
      </w:r>
      <w:r>
        <w:rPr>
          <w:rFonts w:ascii="Cambria" w:hAnsi="Cambria"/>
          <w:b/>
          <w:sz w:val="22"/>
          <w:szCs w:val="22"/>
        </w:rPr>
        <w:t>Gidroenergo</w:t>
      </w:r>
      <w:r>
        <w:rPr>
          <w:rFonts w:ascii="Cambria" w:hAnsi="Cambria"/>
          <w:sz w:val="22"/>
          <w:szCs w:val="22"/>
        </w:rPr>
        <w:t>”)</w:t>
      </w:r>
    </w:p>
    <w:p>
      <w:pPr>
        <w:pStyle w:val="Normal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(General Energy a Gidroenergo společně dále také jako </w:t>
      </w:r>
      <w:r>
        <w:rPr>
          <w:rFonts w:ascii="Cambria" w:hAnsi="Cambria"/>
          <w:b/>
          <w:sz w:val="22"/>
          <w:szCs w:val="22"/>
        </w:rPr>
        <w:t>„Strany“)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Preambule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General</w:t>
      </w:r>
      <w:bookmarkStart w:id="0" w:name="_GoBack"/>
      <w:bookmarkEnd w:id="0"/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je česká akciová společnost, specializující se na oblast výstavby a následného provozování elektráren využívajících obnovitelné zdroje energie (zejména fotovoltaických, vodních a větrných elektráren) v teritoriu střední a východní Evropy.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Gidroenergo</w:t>
      </w:r>
      <w:r>
        <w:rPr>
          <w:rFonts w:ascii="Cambria" w:hAnsi="Cambria"/>
          <w:sz w:val="22"/>
          <w:szCs w:val="22"/>
        </w:rPr>
        <w:t xml:space="preserve"> je společnost s ručením omezeným, řádně založena v souladu s právními předpisy Ruské federace, která se specializuje na oblasti využívání obnovitelných zdrojů energie, s hlavním důrazem na vodní elektrárny.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Foreign Investment a.s., </w:t>
      </w:r>
      <w:r>
        <w:rPr>
          <w:rFonts w:ascii="Cambria" w:hAnsi="Cambria"/>
          <w:sz w:val="22"/>
          <w:szCs w:val="22"/>
        </w:rPr>
        <w:t>IČ: 292 28 603, se sídlem v Brně, Slezská 742/4, PSČ 616 00, zapsaná v obchodním rejstříku vedeném Krajským soudem v Brně, oddíl B vložka 6148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(dále jen „Foreign Investment“) je dceřiná akciová společnost General Energy, založena za účelem správy projektů skupiny General Energy mimo území České republiky.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Ready to build</w:t>
      </w:r>
      <w:r>
        <w:rPr>
          <w:rFonts w:ascii="Cambria" w:hAnsi="Cambria"/>
          <w:sz w:val="22"/>
          <w:szCs w:val="22"/>
        </w:rPr>
        <w:t xml:space="preserve"> stav projektu pro účely tohoto Memoranda znamená, že příslušná projektová společnost (dále jen „SPV“), bude disponovat: (1) platným a nezpochybnitelným uživatelským oprávněným k pozemkům, na kterých budou projekty realizovány a k pozemkům, přes které bude vést kabeláž připojení k distribuční soustavě (2) platnou smlouvou o připojení s příslušným distributorem elektrické energie (3) stavebním povolením, povolením orgánu ochrany životného prostředí a veškerými dalšími správními rozhodnutími vyžadovanými právním řádem Ruské federace k realizaci projektu vodné elektrárny. Úplný seznam náležitosti stavu </w:t>
      </w:r>
      <w:r>
        <w:rPr>
          <w:rFonts w:ascii="Cambria" w:hAnsi="Cambria"/>
          <w:i/>
          <w:sz w:val="22"/>
          <w:szCs w:val="22"/>
        </w:rPr>
        <w:t>ready to build</w:t>
      </w:r>
      <w:r>
        <w:rPr>
          <w:rFonts w:ascii="Cambria" w:hAnsi="Cambria"/>
          <w:sz w:val="22"/>
          <w:szCs w:val="22"/>
        </w:rPr>
        <w:t xml:space="preserve"> je stanoven v příloze č. 2. Připravenost projektu do stavu </w:t>
      </w:r>
      <w:r>
        <w:rPr>
          <w:rFonts w:ascii="Cambria" w:hAnsi="Cambria"/>
          <w:i/>
          <w:sz w:val="22"/>
          <w:szCs w:val="22"/>
        </w:rPr>
        <w:t>ready to build</w:t>
      </w:r>
      <w:r>
        <w:rPr>
          <w:rFonts w:ascii="Cambria" w:hAnsi="Cambria"/>
          <w:sz w:val="22"/>
          <w:szCs w:val="22"/>
        </w:rPr>
        <w:t xml:space="preserve"> musí být potvrzena due diligence reportem vydaným renomovaným poskytovatelem právních služeb.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General Energy</w:t>
      </w:r>
      <w:r>
        <w:rPr>
          <w:rFonts w:ascii="Cambria" w:hAnsi="Cambria"/>
          <w:sz w:val="22"/>
          <w:szCs w:val="22"/>
        </w:rPr>
        <w:t xml:space="preserve"> (přímo nebo prostřednictvím Foreign Investment) a </w:t>
      </w:r>
      <w:r>
        <w:rPr>
          <w:rFonts w:ascii="Cambria" w:hAnsi="Cambria"/>
          <w:b/>
          <w:sz w:val="22"/>
          <w:szCs w:val="22"/>
        </w:rPr>
        <w:t>Gidroenergo</w:t>
      </w:r>
      <w:r>
        <w:rPr>
          <w:rFonts w:ascii="Cambria" w:hAnsi="Cambria"/>
          <w:sz w:val="22"/>
          <w:szCs w:val="22"/>
        </w:rPr>
        <w:t xml:space="preserve"> společně plánují realizaci projektů vodních elektráren na území Ruské federace a to za následujících podmínek: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I.</w:t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Cíl a účel spolupráce</w:t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1.1.</w:t>
      </w:r>
      <w:r>
        <w:rPr>
          <w:rFonts w:ascii="Cambria" w:hAnsi="Cambria"/>
          <w:sz w:val="22"/>
          <w:szCs w:val="22"/>
        </w:rPr>
        <w:t xml:space="preserve"> Strany vstupují do spolupráce s cílem společné přípravy projektů, výstavby a následného provozování vodních elektráren v geografické oblasti Samara o celkovém výkonu 11,9 MW, který bude rozdělen mezi čtyři projekty, tak jak je specifikováno níže: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a) Pravokumskaya HPP </w:t>
      </w:r>
      <w:r>
        <w:rPr>
          <w:rFonts w:ascii="Cambria" w:hAnsi="Cambria"/>
          <w:sz w:val="22"/>
          <w:szCs w:val="22"/>
        </w:rPr>
        <w:t>celkový výkon</w:t>
      </w:r>
      <w:r>
        <w:rPr>
          <w:rFonts w:ascii="Cambria" w:hAnsi="Cambria"/>
          <w:b/>
          <w:sz w:val="22"/>
          <w:szCs w:val="22"/>
        </w:rPr>
        <w:t xml:space="preserve"> 5,8 MW</w:t>
      </w:r>
    </w:p>
    <w:p>
      <w:pPr>
        <w:pStyle w:val="Normal"/>
        <w:tabs>
          <w:tab w:val="left" w:pos="4755" w:leader="none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b) Orlovskaya HPP – </w:t>
      </w:r>
      <w:r>
        <w:rPr>
          <w:rFonts w:ascii="Cambria" w:hAnsi="Cambria"/>
          <w:sz w:val="22"/>
          <w:szCs w:val="22"/>
        </w:rPr>
        <w:t>celkový výkon</w:t>
      </w:r>
      <w:r>
        <w:rPr>
          <w:rFonts w:ascii="Cambria" w:hAnsi="Cambria"/>
          <w:b/>
          <w:sz w:val="22"/>
          <w:szCs w:val="22"/>
        </w:rPr>
        <w:t xml:space="preserve"> 2,0 MW</w:t>
        <w:tab/>
      </w:r>
    </w:p>
    <w:p>
      <w:pPr>
        <w:pStyle w:val="Normal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c) Prosyanskaya HPP – </w:t>
      </w:r>
      <w:r>
        <w:rPr>
          <w:rFonts w:ascii="Cambria" w:hAnsi="Cambria"/>
          <w:sz w:val="22"/>
          <w:szCs w:val="22"/>
        </w:rPr>
        <w:t>celkový výkon</w:t>
      </w:r>
      <w:r>
        <w:rPr>
          <w:rFonts w:ascii="Cambria" w:hAnsi="Cambria"/>
          <w:b/>
          <w:sz w:val="22"/>
          <w:szCs w:val="22"/>
        </w:rPr>
        <w:t xml:space="preserve"> 3,6 MW</w:t>
      </w:r>
    </w:p>
    <w:p>
      <w:pPr>
        <w:pStyle w:val="Normal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d) BolsheKaraskaya HPP – </w:t>
      </w:r>
      <w:r>
        <w:rPr>
          <w:rFonts w:ascii="Cambria" w:hAnsi="Cambria"/>
          <w:sz w:val="22"/>
          <w:szCs w:val="22"/>
        </w:rPr>
        <w:t>celkový výkon</w:t>
      </w:r>
      <w:r>
        <w:rPr>
          <w:rFonts w:ascii="Cambria" w:hAnsi="Cambria"/>
          <w:b/>
          <w:sz w:val="22"/>
          <w:szCs w:val="22"/>
        </w:rPr>
        <w:t xml:space="preserve"> 0,5 MW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</w:t>
      </w:r>
      <w:r>
        <w:rPr>
          <w:rFonts w:ascii="Cambria" w:hAnsi="Cambria"/>
          <w:b/>
          <w:sz w:val="22"/>
          <w:szCs w:val="22"/>
        </w:rPr>
        <w:t>Projekty</w:t>
      </w:r>
      <w:r>
        <w:rPr>
          <w:rFonts w:ascii="Cambria" w:hAnsi="Cambria"/>
          <w:sz w:val="22"/>
          <w:szCs w:val="22"/>
        </w:rPr>
        <w:t>“)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1.2. </w:t>
      </w:r>
      <w:r>
        <w:rPr>
          <w:rFonts w:ascii="Cambria" w:hAnsi="Cambria"/>
          <w:sz w:val="22"/>
          <w:szCs w:val="22"/>
        </w:rPr>
        <w:t>Mapa lokalit, kde budou Projekty umístěny, jako i situační plány k jednotlivým projektům jsou nedílnou součástí tohoto Memoranda jako jeho příloha č. 1.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II.</w:t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Rámec spolupráce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2.1. </w:t>
      </w:r>
      <w:r>
        <w:rPr>
          <w:rFonts w:ascii="Cambria" w:hAnsi="Cambria"/>
          <w:sz w:val="22"/>
          <w:szCs w:val="22"/>
        </w:rPr>
        <w:t>Základní rámec spolupráce bude založen na zřízení projektových společností s kapitálovou účastí obou Stran („SPV“). Pro každý Projekt bude založeno samostatné SPV, které bude sloužit k zabezpečení manažerské, administrativní, ekonomické a právní podpory pro každý projekt. Kapitálová účast stran bude v konečné fázi realizace Projektů rozdělena následovně: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General </w:t>
      </w:r>
      <w:r>
        <w:rPr>
          <w:rFonts w:ascii="Cambria" w:hAnsi="Cambria"/>
          <w:b/>
          <w:sz w:val="22"/>
          <w:szCs w:val="22"/>
        </w:rPr>
        <w:t>Spol</w:t>
      </w:r>
      <w:r>
        <w:rPr>
          <w:rFonts w:ascii="Cambria" w:hAnsi="Cambria"/>
          <w:b/>
          <w:sz w:val="22"/>
          <w:szCs w:val="22"/>
        </w:rPr>
        <w:t>/Foreign Investment</w:t>
      </w:r>
      <w:r>
        <w:rPr>
          <w:rFonts w:ascii="Cambria" w:hAnsi="Cambria"/>
          <w:sz w:val="22"/>
          <w:szCs w:val="22"/>
        </w:rPr>
        <w:t xml:space="preserve"> – obchodní podíl odpovídající 90% základního kapitálu každého SPV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Gidroenergo</w:t>
      </w:r>
      <w:r>
        <w:rPr>
          <w:rFonts w:ascii="Cambria" w:hAnsi="Cambria"/>
          <w:sz w:val="22"/>
          <w:szCs w:val="22"/>
        </w:rPr>
        <w:t xml:space="preserve"> – obchodní podíl odpovídající 10% základního kapitálu každého SPV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2.2. </w:t>
      </w:r>
      <w:r>
        <w:rPr>
          <w:rFonts w:ascii="Cambria" w:hAnsi="Cambria"/>
          <w:sz w:val="22"/>
          <w:szCs w:val="22"/>
        </w:rPr>
        <w:t xml:space="preserve">Řádné založení a registrace každého SPV v souladu s právními předpisy Ruské federace je ve výlučné kompetenci Gidroenergo. Vstup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do každého SPV bude probíhat v režimu smluv o převodu obchodního podílu („STA“) za předpokladu, že budou splněny podmínky a dodrženy postupy uvedené níže: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 xml:space="preserve"> veškerá práva spojená s konkrétním Projektem, kterými disponuje Gidroenergo budou platně převedena na příslušné SPV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 xml:space="preserve"> jako statutární orgán SPV budou jmenování dva jednatelé, přičemž každá ze stran má právo určit osobu, která bude zastávat funkci jednoho jednatele. Jednatelské oprávnění jednatelů bude nastaveno tak, aby k platnosti právního úkonu SPV byla potřebná vzájemná kontrasignace obou jednatelů.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 xml:space="preserve"> Gidroenergy dodá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dokumentaci uvedenou v článku 3. odst. 1 tohoto Memoranda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Jakmile budou výše uvedené podmínky splněny a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shledá dokumentaci poskytnutou společností Gidroenergo za dostatečnou, poskytne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příslušnému SPV půjčku, jejíž splacení bude zajištěno zástavním právem k 90% základního kapitálu tohoto SPV sjednaným ve prospěch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>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Výše půjčky pro jednotlivé projekty je stanovena následovně a zahrnuje veškeré náklady nezbytné k uvedení projektů do stavu </w:t>
      </w:r>
      <w:r>
        <w:rPr>
          <w:rFonts w:ascii="Cambria" w:hAnsi="Cambria"/>
          <w:i/>
          <w:sz w:val="22"/>
          <w:szCs w:val="22"/>
        </w:rPr>
        <w:t>ready to build</w:t>
      </w:r>
      <w:r>
        <w:rPr>
          <w:rFonts w:ascii="Cambria" w:hAnsi="Cambria"/>
          <w:sz w:val="22"/>
          <w:szCs w:val="22"/>
        </w:rPr>
        <w:t>, včetně nákladů na právní due diligence ve výši 15 000 EUR: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SPV pro </w:t>
      </w:r>
      <w:r>
        <w:rPr>
          <w:rFonts w:ascii="Cambria" w:hAnsi="Cambria"/>
          <w:b/>
          <w:sz w:val="22"/>
          <w:szCs w:val="22"/>
        </w:rPr>
        <w:t>Pravokumskaya</w:t>
      </w:r>
      <w:r>
        <w:rPr>
          <w:rFonts w:ascii="Cambria" w:hAnsi="Cambria"/>
          <w:sz w:val="22"/>
          <w:szCs w:val="22"/>
        </w:rPr>
        <w:t xml:space="preserve"> HPP –</w:t>
      </w:r>
      <w:r>
        <w:rPr>
          <w:rFonts w:ascii="Cambria" w:hAnsi="Cambria"/>
          <w:b/>
          <w:sz w:val="22"/>
          <w:szCs w:val="22"/>
        </w:rPr>
        <w:t>135 000 EUR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SPV pro </w:t>
      </w:r>
      <w:r>
        <w:rPr>
          <w:rFonts w:ascii="Cambria" w:hAnsi="Cambria"/>
          <w:b/>
          <w:sz w:val="22"/>
          <w:szCs w:val="22"/>
        </w:rPr>
        <w:t>Orlovskaya</w:t>
      </w:r>
      <w:r>
        <w:rPr>
          <w:rFonts w:ascii="Cambria" w:hAnsi="Cambria"/>
          <w:sz w:val="22"/>
          <w:szCs w:val="22"/>
        </w:rPr>
        <w:t xml:space="preserve"> HPP –</w:t>
      </w:r>
      <w:r>
        <w:rPr>
          <w:rFonts w:ascii="Cambria" w:hAnsi="Cambria"/>
          <w:b/>
          <w:sz w:val="22"/>
          <w:szCs w:val="22"/>
        </w:rPr>
        <w:t>125 000 EUR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SPV pro </w:t>
      </w:r>
      <w:r>
        <w:rPr>
          <w:rFonts w:ascii="Cambria" w:hAnsi="Cambria"/>
          <w:b/>
          <w:sz w:val="22"/>
          <w:szCs w:val="22"/>
        </w:rPr>
        <w:t>Prosyanskaya</w:t>
      </w:r>
      <w:r>
        <w:rPr>
          <w:rFonts w:ascii="Cambria" w:hAnsi="Cambria"/>
          <w:sz w:val="22"/>
          <w:szCs w:val="22"/>
        </w:rPr>
        <w:t xml:space="preserve"> HPP – </w:t>
      </w:r>
      <w:r>
        <w:rPr>
          <w:rFonts w:ascii="Cambria" w:hAnsi="Cambria"/>
          <w:b/>
          <w:sz w:val="22"/>
          <w:szCs w:val="22"/>
        </w:rPr>
        <w:t>135 000 EUR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SPV pro </w:t>
      </w:r>
      <w:r>
        <w:rPr>
          <w:rFonts w:ascii="Cambria" w:hAnsi="Cambria"/>
          <w:b/>
          <w:sz w:val="22"/>
          <w:szCs w:val="22"/>
        </w:rPr>
        <w:t>BolsheKaraskaya</w:t>
      </w:r>
      <w:r>
        <w:rPr>
          <w:rFonts w:ascii="Cambria" w:hAnsi="Cambria"/>
          <w:sz w:val="22"/>
          <w:szCs w:val="22"/>
        </w:rPr>
        <w:t xml:space="preserve"> HPP – </w:t>
      </w:r>
      <w:r>
        <w:rPr>
          <w:rFonts w:ascii="Cambria" w:hAnsi="Cambria"/>
          <w:b/>
          <w:sz w:val="22"/>
          <w:szCs w:val="22"/>
        </w:rPr>
        <w:t>125 000 EUR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2.3.</w:t>
      </w:r>
      <w:r>
        <w:rPr>
          <w:rFonts w:ascii="Cambria" w:hAnsi="Cambria"/>
          <w:sz w:val="22"/>
          <w:szCs w:val="22"/>
        </w:rPr>
        <w:t xml:space="preserve"> Gidroenergo prohlašuje, že výše uvedené částky jsou konečné a uvedení Projektů do </w:t>
      </w:r>
      <w:r>
        <w:rPr>
          <w:rFonts w:ascii="Cambria" w:hAnsi="Cambria"/>
          <w:i/>
          <w:sz w:val="22"/>
          <w:szCs w:val="22"/>
        </w:rPr>
        <w:t>stavu ready tu build</w:t>
      </w:r>
      <w:r>
        <w:rPr>
          <w:rFonts w:ascii="Cambria" w:hAnsi="Cambria"/>
          <w:sz w:val="22"/>
          <w:szCs w:val="22"/>
        </w:rPr>
        <w:t xml:space="preserve"> nebude vyžadovat žádné další náklady. V případě, že náklady na uvedení Projektů do stavu </w:t>
      </w:r>
      <w:r>
        <w:rPr>
          <w:rFonts w:ascii="Cambria" w:hAnsi="Cambria"/>
          <w:i/>
          <w:sz w:val="22"/>
          <w:szCs w:val="22"/>
        </w:rPr>
        <w:t xml:space="preserve">ready to build </w:t>
      </w:r>
      <w:r>
        <w:rPr>
          <w:rFonts w:ascii="Cambria" w:hAnsi="Cambria"/>
          <w:sz w:val="22"/>
          <w:szCs w:val="22"/>
        </w:rPr>
        <w:t xml:space="preserve">přesáhnou výši půjčky, doplatí zbývající částku ve formě půjčky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>. Strany prohlašují, že vrácení této částky bude mít přednost před veškerými nároky na rozdělení zisku z provozu či prodeje Projektů.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2.4.</w:t>
      </w:r>
      <w:r>
        <w:rPr>
          <w:rFonts w:ascii="Cambria" w:hAnsi="Cambria"/>
          <w:sz w:val="22"/>
          <w:szCs w:val="22"/>
        </w:rPr>
        <w:t xml:space="preserve"> Jakmile některý z Projektů dosáhne stavu </w:t>
      </w:r>
      <w:r>
        <w:rPr>
          <w:rFonts w:ascii="Cambria" w:hAnsi="Cambria"/>
          <w:i/>
          <w:sz w:val="22"/>
          <w:szCs w:val="22"/>
        </w:rPr>
        <w:t>ready to build,</w:t>
      </w:r>
      <w:r>
        <w:rPr>
          <w:rFonts w:ascii="Cambria" w:hAnsi="Cambria"/>
          <w:sz w:val="22"/>
          <w:szCs w:val="22"/>
        </w:rPr>
        <w:t xml:space="preserve"> tak jak je specifikován v příloze č. 2,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 due diligence report ohledem tohoto Projektu bude mít positivní výsledek, převede Gidroenergo prostřednictvím STA obchodní podíl odpovídající 90% základního kapitálu příslušného SPV na General </w:t>
      </w:r>
      <w:r>
        <w:rPr>
          <w:rFonts w:ascii="Cambria" w:hAnsi="Cambria"/>
          <w:sz w:val="22"/>
          <w:szCs w:val="22"/>
        </w:rPr>
        <w:t>Spol.</w:t>
      </w: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III.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Práva a povinnosti Stran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3.1. Gidroenergo </w:t>
      </w:r>
      <w:r>
        <w:rPr>
          <w:rFonts w:ascii="Cambria" w:hAnsi="Cambria"/>
          <w:sz w:val="22"/>
          <w:szCs w:val="22"/>
        </w:rPr>
        <w:t>podnikne následující kroky:</w:t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 xml:space="preserve"> nejpozději do 31.12.2013 doručí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(1) grafy průtokových křivek v místech, kde budou Projekty realizovány, vydané oficiální hydrometeorologickou autoritou Ruské federace, (2) povolení k umístění elektrárny (3) dokumenty prokazující, že Gidroenergo disponuje platným a nezpochybnitelným právním titulem k užívání pozemků, na kterých budou Projekty realizovány a přes které bude vést připojení Projektů k distribuční soustavě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 xml:space="preserve"> společně s 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podnikne veškeré kroky nezbytné k uvedení Projektů do stavu</w:t>
      </w:r>
      <w:r>
        <w:rPr>
          <w:rFonts w:ascii="Cambria" w:hAnsi="Cambria"/>
          <w:i/>
          <w:sz w:val="22"/>
          <w:szCs w:val="22"/>
        </w:rPr>
        <w:t xml:space="preserve"> ready to build </w:t>
      </w:r>
      <w:r>
        <w:rPr>
          <w:rFonts w:ascii="Cambria" w:hAnsi="Cambria"/>
          <w:sz w:val="22"/>
          <w:szCs w:val="22"/>
        </w:rPr>
        <w:t xml:space="preserve">v souladu s přílohou č. 2 k tomuto Memorandu. 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 xml:space="preserve"> platně založí SPV pro každý Projekt a převede na něj veškerá práva s tímto Projektem spojená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d)</w:t>
      </w:r>
      <w:r>
        <w:rPr>
          <w:rFonts w:ascii="Cambria" w:hAnsi="Cambria"/>
          <w:sz w:val="22"/>
          <w:szCs w:val="22"/>
        </w:rPr>
        <w:t xml:space="preserve"> po uvedení každého projektu do stavu </w:t>
      </w:r>
      <w:r>
        <w:rPr>
          <w:rFonts w:ascii="Cambria" w:hAnsi="Cambria"/>
          <w:i/>
          <w:sz w:val="22"/>
          <w:szCs w:val="22"/>
        </w:rPr>
        <w:t xml:space="preserve">ready to build </w:t>
      </w:r>
      <w:r>
        <w:rPr>
          <w:rFonts w:ascii="Cambria" w:hAnsi="Cambria"/>
          <w:sz w:val="22"/>
          <w:szCs w:val="22"/>
        </w:rPr>
        <w:t xml:space="preserve">převede na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/Foreign Investment  obchodní podíl na příslušném SPV odpovídající 90% základního kapitálu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e)</w:t>
      </w:r>
      <w:r>
        <w:rPr>
          <w:rFonts w:ascii="Cambria" w:hAnsi="Cambria"/>
          <w:sz w:val="22"/>
          <w:szCs w:val="22"/>
        </w:rPr>
        <w:t xml:space="preserve"> bude se řídit instrukcemi a doporučeními stanovenými v předběžném due diligence report a vynaloží veškerou péči nezbytnou k tomu, aby finální due diligence report měl positivní výsledek. V případě, že předběžný due diligence report nepřinese positivní výsledek, zavazuje se Gidroenergo neprodleně učinit veškeré kroky nezbytné k  nápravě problémů a nedostatků označených v due diligence report.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3.2. General </w:t>
      </w:r>
      <w:r>
        <w:rPr>
          <w:rFonts w:ascii="Cambria" w:hAnsi="Cambria"/>
          <w:b/>
          <w:sz w:val="22"/>
          <w:szCs w:val="22"/>
        </w:rPr>
        <w:t>Spol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podnikne následující kroky: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 xml:space="preserve"> zabezpečí know-how v oblasti přípravy a realizace projektů využívajících obnovitelné zdroje energie a manažerskou supervizi nad Projektem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 xml:space="preserve"> zabezpečí due diligence report, vydaný renomovaným poskytovatelem právních služeb. Výběr konkrétního poskytovatele je ve výlučné diskreci General </w:t>
      </w:r>
      <w:r>
        <w:rPr>
          <w:rFonts w:ascii="Cambria" w:hAnsi="Cambria"/>
          <w:sz w:val="22"/>
          <w:szCs w:val="22"/>
        </w:rPr>
        <w:t>Spol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c) </w:t>
      </w:r>
      <w:r>
        <w:rPr>
          <w:rFonts w:ascii="Cambria" w:hAnsi="Cambria"/>
          <w:sz w:val="22"/>
          <w:szCs w:val="22"/>
        </w:rPr>
        <w:t>poskytne každému SPV půjčku ve výši a za podmínek uvedených v čl. 2 odst. 2 tohoto Memoranda.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d) </w:t>
      </w:r>
      <w:r>
        <w:rPr>
          <w:rFonts w:ascii="Cambria" w:hAnsi="Cambria"/>
          <w:sz w:val="22"/>
          <w:szCs w:val="22"/>
        </w:rPr>
        <w:t>společně s Gidroenergo vybere s ohledem na geografické, klimatologické a logistické specifika každého projektu nejvhodnější a nákladově nejefektivnější technologické řešení.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e) </w:t>
      </w:r>
      <w:r>
        <w:rPr>
          <w:rFonts w:ascii="Cambria" w:hAnsi="Cambria"/>
          <w:sz w:val="22"/>
          <w:szCs w:val="22"/>
        </w:rPr>
        <w:t xml:space="preserve">zabezpečí manažerský a technologický dohled nad Projekty, včetně vyjednávání se zhotoviteli a dodavateli technologie. </w:t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IV.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Soulad s Memorandem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smlouvy (zejména STA a smlouvy o půjčce) a jiné právní vztahy, do kterých Strany vstoupí při plnění povinností vyplývajících z tohoto Memoranda, musí být uzavírány a vykládány v souladu s tímto Memorandem.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V.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Důvěrnost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5.1. </w:t>
      </w:r>
      <w:r>
        <w:rPr>
          <w:rFonts w:ascii="Cambria" w:hAnsi="Cambria"/>
          <w:sz w:val="22"/>
          <w:szCs w:val="22"/>
        </w:rPr>
        <w:t xml:space="preserve">Obě strany se zavazují, že veškeré skutečnosti spadající do oblasti obchodního tajemství, jako i jakékoliv jiné důvěrné informace, které si vzájemně při své spolupráci či při jednáních, které předcházeli podpisu tohoto Memoranda, zpřístupnily a zpřístupní, budou odpovídajícím způsobem chránit a v žádném případě je nepoužijí v rozporu s účelem tohoto Memoranda, ani je neposkytnou či nezpřístupní třetím osobám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5.2.</w:t>
      </w:r>
      <w:r>
        <w:rPr>
          <w:rFonts w:ascii="Cambria" w:hAnsi="Cambria"/>
          <w:sz w:val="22"/>
          <w:szCs w:val="22"/>
        </w:rPr>
        <w:t xml:space="preserve"> Obě Strany se zavazují, že mimo účely stanovené v tomto Memorandu nebudou nijakým způsobem využívat ochranné známky, patenty, logá, ani žádné jiné statky chráněné duševním vlastnictvím druhé Strany bez jejího předchozího písemného souhlasu.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VI.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Exklusivita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Gidroenergo se zavazuje, že v době účinnosti tohoto Memoranda neuzavře obsahově odpovídající smlouvu či dohodu s žádným jiným subjektem, nevstoupí do žádných rokovaní, jejichž cílem bude nahradit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jako exklusivního partnera při realizaci Projektů, ani v této souvislosti nepodnikne žádné jiné kroky (tím je myšleno zejména zatížení relevantních nemovitostí či obchodních podílu ve prospěch třetích osob). V případě, že Gidroenergo poruší své povinnosti stanovené v tomto článku, zavazuje se zaplatit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smluvní pokutu ve výši 200 000 EUR za každé jednotlivé porušení.  Nárok na vyplacení smluvní pokuty se v žádném případě nedotýká nároků General </w:t>
      </w:r>
      <w:r>
        <w:rPr>
          <w:rFonts w:ascii="Cambria" w:hAnsi="Cambria"/>
          <w:sz w:val="22"/>
          <w:szCs w:val="22"/>
        </w:rPr>
        <w:t>Spol</w:t>
      </w:r>
      <w:r>
        <w:rPr>
          <w:rFonts w:ascii="Cambria" w:hAnsi="Cambria"/>
          <w:sz w:val="22"/>
          <w:szCs w:val="22"/>
        </w:rPr>
        <w:t xml:space="preserve"> na náhradu škody či ušlého zisku.   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tabs>
          <w:tab w:val="left" w:pos="1425" w:leader="none"/>
        </w:tabs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VII.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ustanovení</w:t>
      </w:r>
    </w:p>
    <w:p>
      <w:pPr>
        <w:pStyle w:val="Normal"/>
        <w:spacing w:before="0" w:after="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7.1.</w:t>
      </w:r>
      <w:r>
        <w:rPr>
          <w:rFonts w:ascii="Cambria" w:hAnsi="Cambria"/>
          <w:sz w:val="22"/>
          <w:szCs w:val="22"/>
        </w:rPr>
        <w:t xml:space="preserve"> Toto Memorandum se uzavírá na dobu neurčitou a nabývá platnosti i účinnosti dnem jeho podpisu oběma Stranami. </w:t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7.2.</w:t>
      </w:r>
      <w:r>
        <w:rPr>
          <w:rFonts w:ascii="Cambria" w:hAnsi="Cambria"/>
          <w:sz w:val="22"/>
          <w:szCs w:val="22"/>
        </w:rPr>
        <w:t xml:space="preserve"> Toto Memorandum se řídí právním řádem České republiky. 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7.3. </w:t>
      </w:r>
      <w:r>
        <w:rPr>
          <w:rFonts w:ascii="Cambria" w:hAnsi="Cambria"/>
          <w:sz w:val="22"/>
          <w:szCs w:val="22"/>
        </w:rPr>
        <w:t>Strany sjednávají, že jakékoliv spory, neshody nebo nároky vyplývající z tohoto Memoranda nebo vzniklé v souvislosti s ním, budou řešit nejprve smírnou cestou. Nepodaří-li se smírné vyřešení, předloží spor do rozhodčího řízení v souladu s pravidly rozhodčího soudu při Hospodářské komoře České republiky a Agrární komoře České republiky. Rozhodčí soud bude složen ze tří rozhodců, přičemž každá smluvní strana určí jednoho rozhodce a ti pak určí rozhodce třetího, který bude jednat jako předseda rozhodčího soudu, místem konání rozhodčího řízení bude Praha, jednací jazyk bude angličtina, rozhodnutí rozhodčího soudu bude konečné, závazné a vykonatelné.</w:t>
      </w:r>
    </w:p>
    <w:p>
      <w:pPr>
        <w:pStyle w:val="Normal"/>
        <w:spacing w:before="0"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7.4. </w:t>
      </w:r>
      <w:r>
        <w:rPr>
          <w:rFonts w:ascii="Cambria" w:hAnsi="Cambria"/>
          <w:sz w:val="22"/>
          <w:szCs w:val="22"/>
        </w:rPr>
        <w:t>Nedílnou součástí Memoranda jsou následující přílohy: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Příloha č. 1: Situační plány a mapy projektů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Příloha č. 2: Náležitosti stavu </w:t>
      </w:r>
      <w:r>
        <w:rPr>
          <w:rFonts w:ascii="Cambria" w:hAnsi="Cambria"/>
          <w:i/>
          <w:sz w:val="22"/>
          <w:szCs w:val="22"/>
        </w:rPr>
        <w:t>ready to build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7.5.</w:t>
      </w:r>
      <w:r>
        <w:rPr>
          <w:rFonts w:ascii="Cambria" w:hAnsi="Cambria"/>
          <w:sz w:val="22"/>
          <w:szCs w:val="22"/>
        </w:rPr>
        <w:t xml:space="preserve"> Toto Memorandum je vyhotoveno v ruské a české jazykové verzi, v případě rozporu mezi různými jazykovými verzemi má přednost verze česká. Memorandum je v každé jazykové verzi vyhotoveno ve dvou stejnopisech, přičemž každá ze Stran obdrží po podpisu Memoranda po jednom exempláři z každé jazykové verze.  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7.6.</w:t>
      </w:r>
      <w:r>
        <w:rPr>
          <w:rFonts w:eastAsia="Calibri" w:ascii="Cambria" w:hAnsi="Cambria"/>
          <w:sz w:val="22"/>
          <w:szCs w:val="22"/>
          <w:lang w:eastAsia="en-US"/>
        </w:rPr>
        <w:t xml:space="preserve"> </w:t>
      </w:r>
      <w:r>
        <w:rPr>
          <w:rFonts w:ascii="Cambria" w:hAnsi="Cambria"/>
          <w:sz w:val="22"/>
          <w:szCs w:val="22"/>
        </w:rPr>
        <w:t>Strany prohlašují, že si text Memoranda před jeho podpisem pozorně přečetly, porozuměly jeho obsahu a že jej uzavírají svobodně a za vzájemně výhodných podmínek, na důkaz čeho připojují své vlastnoruční podpisy.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 …………………… dne ……………………..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</w:t>
      </w:r>
      <w:r>
        <w:rPr>
          <w:rFonts w:ascii="Cambria" w:hAnsi="Cambria"/>
          <w:b/>
          <w:sz w:val="22"/>
          <w:szCs w:val="22"/>
        </w:rPr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spacing w:before="0" w:after="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General  </w:t>
      </w:r>
      <w:r>
        <w:rPr>
          <w:rFonts w:ascii="Cambria" w:hAnsi="Cambria"/>
          <w:b/>
          <w:sz w:val="22"/>
          <w:szCs w:val="22"/>
        </w:rPr>
        <w:t>Spol</w:t>
      </w:r>
      <w:r>
        <w:rPr>
          <w:rFonts w:ascii="Cambria" w:hAnsi="Cambria"/>
          <w:b/>
          <w:sz w:val="22"/>
          <w:szCs w:val="22"/>
        </w:rPr>
        <w:tab/>
        <w:tab/>
        <w:tab/>
        <w:tab/>
        <w:tab/>
        <w:tab/>
        <w:tab/>
        <w:tab/>
        <w:tab/>
        <w:t>Gidroenergo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uiPriority="0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9a7af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hlavChar" w:customStyle="1">
    <w:name w:val="Záhlaví Char"/>
    <w:uiPriority w:val="99"/>
    <w:semiHidden/>
    <w:link w:val="Zhlav"/>
    <w:rsid w:val="00137e9e"/>
    <w:basedOn w:val="DefaultParagraphFont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uiPriority w:val="99"/>
    <w:semiHidden/>
    <w:link w:val="Zpat"/>
    <w:rsid w:val="00137e9e"/>
    <w:basedOn w:val="DefaultParagraphFont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Seznam2">
    <w:name w:val="Seznam 2"/>
    <w:unhideWhenUsed/>
    <w:rsid w:val="001934cf"/>
    <w:basedOn w:val="Normal"/>
    <w:pPr>
      <w:widowControl/>
      <w:ind w:left="566" w:right="0" w:hanging="283"/>
    </w:pPr>
    <w:rPr>
      <w:sz w:val="24"/>
      <w:szCs w:val="24"/>
    </w:rPr>
  </w:style>
  <w:style w:type="paragraph" w:styleId="Zhlav">
    <w:name w:val="Záhlaví"/>
    <w:uiPriority w:val="99"/>
    <w:semiHidden/>
    <w:unhideWhenUsed/>
    <w:link w:val="ZhlavChar"/>
    <w:rsid w:val="00137e9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uiPriority w:val="99"/>
    <w:semiHidden/>
    <w:unhideWhenUsed/>
    <w:link w:val="ZpatChar"/>
    <w:rsid w:val="00137e9e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2013-10-02T10:05:00Z</dcterms:created>
  <dc:creator>GUNIS</dc:creator>
  <dc:language>cs-CZ</dc:language>
  <cp:lastModifiedBy>Mercedeses</cp:lastModifiedBy>
  <dcterms:modified xsi:type="dcterms:W3CDTF">2014-11-10T19:17:00Z</dcterms:modified>
  <cp:revision>38</cp:revision>
</cp:coreProperties>
</file>