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DA" w:rsidRDefault="00914FDA" w:rsidP="00914FDA">
      <w:pPr>
        <w:pStyle w:val="Textpoznpodarou"/>
        <w:keepNext/>
        <w:suppressAutoHyphens w:val="0"/>
        <w:autoSpaceDE w:val="0"/>
        <w:autoSpaceDN w:val="0"/>
        <w:adjustRightInd w:val="0"/>
        <w:jc w:val="both"/>
        <w:rPr>
          <w:spacing w:val="-3"/>
          <w:kern w:val="0"/>
          <w:sz w:val="24"/>
          <w:szCs w:val="24"/>
          <w:lang w:val="fr-CA" w:eastAsia="cs-CZ"/>
        </w:rPr>
      </w:pPr>
      <w:r>
        <w:rPr>
          <w:spacing w:val="-3"/>
          <w:kern w:val="0"/>
          <w:sz w:val="24"/>
          <w:szCs w:val="24"/>
          <w:lang w:val="fr-CA" w:eastAsia="cs-CZ"/>
        </w:rPr>
        <w:tab/>
        <w:t>Revenons à la modélisation identitaire qui semble se dégager de l’histoire de la littérature canadienne-française et québécoise. Un tableau récapitulatif permet de résumer les points communs et les différences. Signalons que les composantes ne sont pas égales quant à la dynamique fonctionnelle. La nature de la position subjectale semble déterminante dans la mesure où elle active la structuration des topiques et le choix de la relation structurante.</w:t>
      </w:r>
    </w:p>
    <w:p w:rsidR="00914FDA" w:rsidRDefault="00914FDA" w:rsidP="00914FDA">
      <w:pPr>
        <w:pStyle w:val="Textpoznpodarou"/>
        <w:keepNext/>
        <w:suppressAutoHyphens w:val="0"/>
        <w:autoSpaceDE w:val="0"/>
        <w:autoSpaceDN w:val="0"/>
        <w:adjustRightInd w:val="0"/>
        <w:jc w:val="both"/>
        <w:rPr>
          <w:spacing w:val="-3"/>
          <w:kern w:val="0"/>
          <w:sz w:val="24"/>
          <w:szCs w:val="24"/>
          <w:lang w:val="fr-CA"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1250"/>
        <w:gridCol w:w="882"/>
        <w:gridCol w:w="1153"/>
        <w:gridCol w:w="1234"/>
        <w:gridCol w:w="1692"/>
        <w:gridCol w:w="1841"/>
      </w:tblGrid>
      <w:tr w:rsidR="00914FDA" w:rsidTr="008E5CDB">
        <w:trPr>
          <w:cantSplit/>
        </w:trPr>
        <w:tc>
          <w:tcPr>
            <w:tcW w:w="0" w:type="auto"/>
            <w:vMerge w:val="restart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Modèle</w:t>
            </w:r>
          </w:p>
          <w:p w:rsidR="00914FDA" w:rsidRDefault="00914FDA" w:rsidP="008E5CDB">
            <w:pPr>
              <w:rPr>
                <w:sz w:val="16"/>
                <w:szCs w:val="16"/>
              </w:rPr>
            </w:pPr>
          </w:p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formation</w:t>
            </w:r>
            <w:proofErr w:type="spellEnd"/>
          </w:p>
        </w:tc>
        <w:tc>
          <w:tcPr>
            <w:tcW w:w="0" w:type="auto"/>
            <w:gridSpan w:val="4"/>
          </w:tcPr>
          <w:p w:rsidR="00914FDA" w:rsidRDefault="00914FDA" w:rsidP="008E5CDB">
            <w:pPr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 xml:space="preserve">Éléments constitutifs </w:t>
            </w:r>
          </w:p>
          <w:p w:rsidR="00914FDA" w:rsidRDefault="00914FDA" w:rsidP="008E5CDB">
            <w:pPr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</w:tcPr>
          <w:p w:rsidR="00914FDA" w:rsidRDefault="00914FDA" w:rsidP="008E5CDB">
            <w:pPr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Relations structurantes</w:t>
            </w:r>
          </w:p>
        </w:tc>
        <w:tc>
          <w:tcPr>
            <w:tcW w:w="0" w:type="auto"/>
            <w:vMerge w:val="restart"/>
          </w:tcPr>
          <w:p w:rsidR="00914FDA" w:rsidRDefault="00914FDA" w:rsidP="008E5CDB">
            <w:pPr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Facteur complémentaire</w:t>
            </w:r>
          </w:p>
        </w:tc>
      </w:tr>
      <w:tr w:rsidR="00914FDA" w:rsidTr="008E5CDB">
        <w:trPr>
          <w:cantSplit/>
        </w:trPr>
        <w:tc>
          <w:tcPr>
            <w:tcW w:w="0" w:type="auto"/>
            <w:vMerge/>
          </w:tcPr>
          <w:p w:rsidR="00914FDA" w:rsidRDefault="00914FDA" w:rsidP="008E5CDB">
            <w:pPr>
              <w:rPr>
                <w:caps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14FDA" w:rsidRDefault="00914FDA" w:rsidP="008E5C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Anthropos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Cosmos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Logos</w:t>
            </w:r>
          </w:p>
        </w:tc>
        <w:tc>
          <w:tcPr>
            <w:tcW w:w="0" w:type="auto"/>
            <w:vMerge/>
          </w:tcPr>
          <w:p w:rsidR="00914FDA" w:rsidRDefault="00914FDA" w:rsidP="008E5CDB">
            <w:pPr>
              <w:rPr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14FDA" w:rsidRDefault="00914FDA" w:rsidP="008E5CDB">
            <w:pPr>
              <w:rPr>
                <w:caps/>
                <w:sz w:val="16"/>
                <w:szCs w:val="16"/>
              </w:rPr>
            </w:pPr>
          </w:p>
        </w:tc>
      </w:tr>
      <w:tr w:rsidR="00914FDA" w:rsidTr="008E5CDB">
        <w:trPr>
          <w:cantSplit/>
        </w:trPr>
        <w:tc>
          <w:tcPr>
            <w:tcW w:w="0" w:type="auto"/>
            <w:vMerge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position</w:t>
            </w:r>
            <w:proofErr w:type="spellEnd"/>
          </w:p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subjectale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position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objectale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topiques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identitaires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>
              <w:rPr>
                <w:b/>
                <w:bCs/>
                <w:sz w:val="16"/>
                <w:szCs w:val="16"/>
              </w:rPr>
              <w:t>nationales</w:t>
            </w:r>
            <w:proofErr w:type="spellEnd"/>
            <w:r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langage</w:t>
            </w:r>
            <w:proofErr w:type="spellEnd"/>
          </w:p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(statut)</w:t>
            </w:r>
          </w:p>
        </w:tc>
        <w:tc>
          <w:tcPr>
            <w:tcW w:w="0" w:type="auto"/>
          </w:tcPr>
          <w:p w:rsidR="00914FDA" w:rsidRDefault="00914FDA" w:rsidP="008E5CDB">
            <w:pPr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relation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dominante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territorialisation</w:t>
            </w:r>
            <w:proofErr w:type="spellEnd"/>
          </w:p>
        </w:tc>
      </w:tr>
      <w:tr w:rsidR="00914FDA" w:rsidTr="008E5CDB"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proto-</w:t>
            </w: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1760-1800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je-</w:t>
            </w:r>
            <w:proofErr w:type="spellStart"/>
            <w:r>
              <w:rPr>
                <w:sz w:val="16"/>
                <w:szCs w:val="16"/>
              </w:rPr>
              <w:t>privé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>-public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tolérée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 </w:t>
            </w:r>
            <w:proofErr w:type="spellStart"/>
            <w:r>
              <w:rPr>
                <w:sz w:val="16"/>
                <w:szCs w:val="16"/>
              </w:rPr>
              <w:t>marquées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universalité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</w:t>
            </w: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réelle</w:t>
            </w:r>
            <w:proofErr w:type="spellEnd"/>
          </w:p>
        </w:tc>
      </w:tr>
      <w:tr w:rsidR="00914FDA" w:rsidTr="008E5CDB"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émancipateur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1800-1840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  <w:r>
              <w:rPr>
                <w:sz w:val="16"/>
                <w:szCs w:val="16"/>
              </w:rPr>
              <w:t xml:space="preserve"> je/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collectivité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éclaté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acceptée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universalité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particularisante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  <w:r>
              <w:rPr>
                <w:sz w:val="16"/>
                <w:szCs w:val="16"/>
              </w:rPr>
              <w:t xml:space="preserve"> de la </w:t>
            </w:r>
            <w:proofErr w:type="spellStart"/>
            <w:r>
              <w:rPr>
                <w:sz w:val="16"/>
                <w:szCs w:val="16"/>
              </w:rPr>
              <w:t>diversité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médiation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réelle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spécificité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nationale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affirmée</w:t>
            </w:r>
            <w:proofErr w:type="spellEnd"/>
          </w:p>
        </w:tc>
      </w:tr>
      <w:tr w:rsidR="00914FDA" w:rsidTr="008E5CDB"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défensif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conservateur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après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1840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collectif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compact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rejetée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marquées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structuration</w:t>
            </w:r>
            <w:proofErr w:type="spellEnd"/>
            <w:r>
              <w:rPr>
                <w:sz w:val="16"/>
                <w:szCs w:val="16"/>
              </w:rPr>
              <w:t xml:space="preserve"> en </w:t>
            </w:r>
            <w:proofErr w:type="spellStart"/>
            <w:r>
              <w:rPr>
                <w:sz w:val="16"/>
                <w:szCs w:val="16"/>
              </w:rPr>
              <w:t>dichotomies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tranchées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collective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exclusion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irréelle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 </w:t>
            </w: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incertain</w:t>
            </w:r>
            <w:proofErr w:type="spellEnd"/>
            <w:r>
              <w:rPr>
                <w:sz w:val="16"/>
                <w:szCs w:val="16"/>
              </w:rPr>
              <w:t> »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utopique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rêvé</w:t>
            </w:r>
            <w:proofErr w:type="spellEnd"/>
          </w:p>
        </w:tc>
      </w:tr>
      <w:tr w:rsidR="00914FDA" w:rsidTr="008E5CDB"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national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défensif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libéral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après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1840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atténuée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opposition</w:t>
            </w:r>
            <w:proofErr w:type="spellEnd"/>
            <w:r>
              <w:rPr>
                <w:sz w:val="16"/>
                <w:szCs w:val="16"/>
              </w:rPr>
              <w:t xml:space="preserve"> je/</w:t>
            </w: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collectivité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nous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éclaté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fermée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atténuée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rejetée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dichotomies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atténuées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collective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exclusion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médiation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marquée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irréelle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 </w:t>
            </w: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incertain</w:t>
            </w:r>
            <w:proofErr w:type="spellEnd"/>
            <w:r>
              <w:rPr>
                <w:sz w:val="16"/>
                <w:szCs w:val="16"/>
              </w:rPr>
              <w:t> »</w:t>
            </w:r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pays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utopique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rêvé</w:t>
            </w:r>
            <w:proofErr w:type="spellEnd"/>
          </w:p>
        </w:tc>
      </w:tr>
      <w:tr w:rsidR="00914FDA" w:rsidTr="008E5CDB"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postnational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</w:p>
          <w:p w:rsidR="00914FDA" w:rsidRDefault="00914FDA" w:rsidP="008E5CDB">
            <w:pPr>
              <w:keepNext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après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1980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 </w:t>
            </w:r>
            <w:proofErr w:type="spellStart"/>
            <w:r>
              <w:rPr>
                <w:sz w:val="16"/>
                <w:szCs w:val="16"/>
              </w:rPr>
              <w:t>pluriel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mêmeté</w:t>
            </w:r>
            <w:proofErr w:type="spell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ipséité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ouverte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altérité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acceptée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 </w:t>
            </w:r>
            <w:proofErr w:type="spellStart"/>
            <w:r>
              <w:rPr>
                <w:sz w:val="16"/>
                <w:szCs w:val="16"/>
              </w:rPr>
              <w:t>pertinentes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particularité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individuelle</w:t>
            </w:r>
            <w:proofErr w:type="spellEnd"/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inclusion</w:t>
            </w:r>
            <w:proofErr w:type="spellEnd"/>
          </w:p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hybridation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juxtaposition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</w:tcPr>
          <w:p w:rsidR="00914FDA" w:rsidRDefault="00914FDA" w:rsidP="008E5CDB">
            <w:pPr>
              <w:keepNext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 </w:t>
            </w:r>
            <w:proofErr w:type="spellStart"/>
            <w:r>
              <w:rPr>
                <w:sz w:val="16"/>
                <w:szCs w:val="16"/>
              </w:rPr>
              <w:t>pertinente</w:t>
            </w:r>
            <w:proofErr w:type="spellEnd"/>
          </w:p>
        </w:tc>
      </w:tr>
    </w:tbl>
    <w:p w:rsidR="00914FDA" w:rsidRDefault="00914FDA" w:rsidP="00914FDA">
      <w:pPr>
        <w:pStyle w:val="Textpoznpodarou"/>
        <w:keepNext/>
        <w:suppressAutoHyphens w:val="0"/>
        <w:autoSpaceDE w:val="0"/>
        <w:autoSpaceDN w:val="0"/>
        <w:adjustRightInd w:val="0"/>
        <w:jc w:val="both"/>
        <w:rPr>
          <w:spacing w:val="-3"/>
          <w:kern w:val="0"/>
          <w:sz w:val="24"/>
          <w:szCs w:val="24"/>
          <w:lang w:val="fr-CA" w:eastAsia="cs-CZ"/>
        </w:rPr>
      </w:pPr>
    </w:p>
    <w:p w:rsidR="00914FDA" w:rsidRDefault="00914FDA">
      <w:pPr>
        <w:widowControl/>
        <w:autoSpaceDE/>
        <w:autoSpaceDN/>
        <w:adjustRightInd/>
        <w:spacing w:after="200" w:line="276" w:lineRule="auto"/>
        <w:jc w:val="left"/>
      </w:pPr>
      <w:r>
        <w:br w:type="page"/>
      </w:r>
    </w:p>
    <w:p w:rsidR="00914FDA" w:rsidRPr="003F3E81" w:rsidRDefault="00914FDA" w:rsidP="00914FDA">
      <w:pPr>
        <w:ind w:firstLine="708"/>
        <w:rPr>
          <w:lang w:val="fr-CA"/>
        </w:rPr>
      </w:pPr>
      <w:r w:rsidRPr="003F3E81">
        <w:rPr>
          <w:lang w:val="fr-CA"/>
        </w:rPr>
        <w:lastRenderedPageBreak/>
        <w:t>La relation entre le centre et la périphérie est régie par une série de caractéristiques que l’on peut schématiser comme suit :</w:t>
      </w:r>
    </w:p>
    <w:p w:rsidR="00914FDA" w:rsidRPr="003F3E81" w:rsidRDefault="00914FDA" w:rsidP="00914FDA">
      <w:pPr>
        <w:ind w:firstLine="708"/>
        <w:rPr>
          <w:lang w:val="fr-CA"/>
        </w:rPr>
      </w:pPr>
    </w:p>
    <w:tbl>
      <w:tblPr>
        <w:tblStyle w:val="Mkatabulky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5"/>
        <w:gridCol w:w="3274"/>
        <w:gridCol w:w="2789"/>
      </w:tblGrid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  <w:rPr>
                <w:b/>
                <w:bCs/>
              </w:rPr>
            </w:pPr>
            <w:r w:rsidRPr="003F3E81">
              <w:rPr>
                <w:b/>
                <w:bCs/>
              </w:rPr>
              <w:t>Centre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  <w:rPr>
                <w:b/>
                <w:bCs/>
              </w:rPr>
            </w:pPr>
            <w:r w:rsidRPr="003F3E81">
              <w:rPr>
                <w:b/>
                <w:bCs/>
              </w:rPr>
              <w:t>Périphérie</w:t>
            </w:r>
          </w:p>
        </w:tc>
        <w:tc>
          <w:tcPr>
            <w:tcW w:w="2789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  <w:rPr>
                <w:b/>
                <w:bCs/>
              </w:rPr>
            </w:pPr>
            <w:r w:rsidRPr="003F3E81">
              <w:rPr>
                <w:b/>
                <w:bCs/>
              </w:rPr>
              <w:t>Caractéristiques</w:t>
            </w: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continuité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discontinuité</w:t>
            </w:r>
          </w:p>
        </w:tc>
        <w:tc>
          <w:tcPr>
            <w:tcW w:w="2789" w:type="dxa"/>
            <w:vMerge w:val="restart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rPr>
                <w:b/>
                <w:bCs/>
              </w:rPr>
              <w:t>ontologiques</w:t>
            </w: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stabilité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instabilité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avance par rapport à la périphérie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retard par rapport au centre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production &gt; réception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réception &gt; production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autosuffisance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insuffisance</w:t>
            </w:r>
          </w:p>
        </w:tc>
        <w:tc>
          <w:tcPr>
            <w:tcW w:w="2789" w:type="dxa"/>
            <w:vMerge w:val="restart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  <w:rPr>
                <w:b/>
                <w:bCs/>
              </w:rPr>
            </w:pPr>
            <w:r w:rsidRPr="003F3E81">
              <w:rPr>
                <w:b/>
                <w:bCs/>
              </w:rPr>
              <w:t>ontologiques et axiologiques</w:t>
            </w: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originalité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imitation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(complexe de) supériorité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(complexe d’) infériorité</w:t>
            </w:r>
          </w:p>
        </w:tc>
        <w:tc>
          <w:tcPr>
            <w:tcW w:w="2789" w:type="dxa"/>
            <w:vMerge w:val="restart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rPr>
                <w:b/>
                <w:bCs/>
              </w:rPr>
              <w:t>axiologiques</w:t>
            </w: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lieu de légitimation, autorité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lieu de non légitimation, absence d’autorité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concentration des valeurs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dispersion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saturation axiologique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non saturation axiologique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axiologie fortement hiérarchisée à structuration verticale</w:t>
            </w:r>
          </w:p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superposition des valeurs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axiologie non hiérarchisée à structuration horizontale</w:t>
            </w:r>
          </w:p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juxtaposition des valeurs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  <w:tr w:rsidR="00914FDA" w:rsidRPr="003F3E81" w:rsidTr="008E5CDB">
        <w:tc>
          <w:tcPr>
            <w:tcW w:w="3225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mécanismes d’exclusion, délimitation stricte</w:t>
            </w:r>
          </w:p>
        </w:tc>
        <w:tc>
          <w:tcPr>
            <w:tcW w:w="3274" w:type="dxa"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  <w:r w:rsidRPr="003F3E81">
              <w:t>mécanismes d’inclusion (métissage, hybridation), délimitation affaiblie</w:t>
            </w:r>
          </w:p>
        </w:tc>
        <w:tc>
          <w:tcPr>
            <w:tcW w:w="2789" w:type="dxa"/>
            <w:vMerge/>
          </w:tcPr>
          <w:p w:rsidR="00914FDA" w:rsidRPr="003F3E81" w:rsidRDefault="00914FDA" w:rsidP="008E5CDB">
            <w:pPr>
              <w:pStyle w:val="FJ"/>
              <w:widowControl/>
              <w:autoSpaceDE/>
              <w:autoSpaceDN/>
              <w:adjustRightInd/>
              <w:jc w:val="left"/>
            </w:pPr>
          </w:p>
        </w:tc>
      </w:tr>
    </w:tbl>
    <w:p w:rsidR="00914FDA" w:rsidRPr="003F3E81" w:rsidRDefault="00914FDA" w:rsidP="00914FDA">
      <w:pPr>
        <w:ind w:firstLine="708"/>
        <w:rPr>
          <w:lang w:val="fr-CA"/>
        </w:rPr>
      </w:pPr>
    </w:p>
    <w:p w:rsidR="000113CB" w:rsidRPr="00914FDA" w:rsidRDefault="000113CB">
      <w:pPr>
        <w:rPr>
          <w:lang w:val="fr-CA"/>
        </w:rPr>
      </w:pPr>
      <w:bookmarkStart w:id="0" w:name="_GoBack"/>
      <w:bookmarkEnd w:id="0"/>
    </w:p>
    <w:sectPr w:rsidR="000113CB" w:rsidRPr="0091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|||||ˇ¦|||||ˇ¦|||ˇ¦||ˇ¦ˇě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DA"/>
    <w:rsid w:val="000113CB"/>
    <w:rsid w:val="00914FDA"/>
    <w:rsid w:val="00B85A33"/>
    <w:rsid w:val="00E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F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pacing w:val="-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914FDA"/>
    <w:pPr>
      <w:suppressAutoHyphens/>
      <w:autoSpaceDE/>
      <w:autoSpaceDN/>
      <w:adjustRightInd/>
      <w:jc w:val="left"/>
    </w:pPr>
    <w:rPr>
      <w:spacing w:val="0"/>
      <w:kern w:val="1"/>
      <w:sz w:val="20"/>
      <w:szCs w:val="20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4FDA"/>
    <w:rPr>
      <w:rFonts w:ascii="Times New Roman" w:eastAsia="SimSun" w:hAnsi="Times New Roman" w:cs="Times New Roman"/>
      <w:kern w:val="1"/>
      <w:sz w:val="20"/>
      <w:szCs w:val="20"/>
      <w:lang/>
    </w:rPr>
  </w:style>
  <w:style w:type="paragraph" w:customStyle="1" w:styleId="FJ">
    <w:name w:val="FJ"/>
    <w:basedOn w:val="Normln"/>
    <w:uiPriority w:val="99"/>
    <w:rsid w:val="00914FDA"/>
    <w:rPr>
      <w:rFonts w:eastAsia="Times New Roman"/>
      <w:spacing w:val="0"/>
      <w:lang w:val="fr-CA"/>
    </w:rPr>
  </w:style>
  <w:style w:type="table" w:styleId="Mkatabulky">
    <w:name w:val="Table Grid"/>
    <w:basedOn w:val="Normlntabulka"/>
    <w:uiPriority w:val="99"/>
    <w:rsid w:val="00914FDA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4F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SimSun" w:hAnsi="Times New Roman" w:cs="Times New Roman"/>
      <w:spacing w:val="-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914FDA"/>
    <w:pPr>
      <w:suppressAutoHyphens/>
      <w:autoSpaceDE/>
      <w:autoSpaceDN/>
      <w:adjustRightInd/>
      <w:jc w:val="left"/>
    </w:pPr>
    <w:rPr>
      <w:spacing w:val="0"/>
      <w:kern w:val="1"/>
      <w:sz w:val="20"/>
      <w:szCs w:val="20"/>
      <w:lang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14FDA"/>
    <w:rPr>
      <w:rFonts w:ascii="Times New Roman" w:eastAsia="SimSun" w:hAnsi="Times New Roman" w:cs="Times New Roman"/>
      <w:kern w:val="1"/>
      <w:sz w:val="20"/>
      <w:szCs w:val="20"/>
      <w:lang/>
    </w:rPr>
  </w:style>
  <w:style w:type="paragraph" w:customStyle="1" w:styleId="FJ">
    <w:name w:val="FJ"/>
    <w:basedOn w:val="Normln"/>
    <w:uiPriority w:val="99"/>
    <w:rsid w:val="00914FDA"/>
    <w:rPr>
      <w:rFonts w:eastAsia="Times New Roman"/>
      <w:spacing w:val="0"/>
      <w:lang w:val="fr-CA"/>
    </w:rPr>
  </w:style>
  <w:style w:type="table" w:styleId="Mkatabulky">
    <w:name w:val="Table Grid"/>
    <w:basedOn w:val="Normlntabulka"/>
    <w:uiPriority w:val="99"/>
    <w:rsid w:val="00914FDA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2336</Characters>
  <Application>Microsoft Office Word</Application>
  <DocSecurity>0</DocSecurity>
  <Lines>19</Lines>
  <Paragraphs>5</Paragraphs>
  <ScaleCrop>false</ScaleCrop>
  <Company>UVT MU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Kyloušek</dc:creator>
  <cp:lastModifiedBy>Petr Kyloušek</cp:lastModifiedBy>
  <cp:revision>1</cp:revision>
  <dcterms:created xsi:type="dcterms:W3CDTF">2015-09-22T06:17:00Z</dcterms:created>
  <dcterms:modified xsi:type="dcterms:W3CDTF">2015-09-22T06:20:00Z</dcterms:modified>
</cp:coreProperties>
</file>