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0E" w:rsidRDefault="0066610E" w:rsidP="00BF759A">
      <w:pPr>
        <w:rPr>
          <w:rFonts w:ascii="Times New Roman" w:hAnsi="Times New Roman"/>
          <w:sz w:val="24"/>
          <w:szCs w:val="24"/>
          <w:lang w:val="it-IT"/>
        </w:rPr>
      </w:pPr>
    </w:p>
    <w:p w:rsidR="00BF759A" w:rsidRPr="00F83487" w:rsidRDefault="00BF759A" w:rsidP="00BF759A">
      <w:pPr>
        <w:rPr>
          <w:rFonts w:ascii="Times New Roman" w:hAnsi="Times New Roman"/>
          <w:sz w:val="24"/>
          <w:szCs w:val="24"/>
          <w:lang w:val="it-IT"/>
        </w:rPr>
      </w:pPr>
      <w:r w:rsidRPr="00F83487">
        <w:rPr>
          <w:rFonts w:ascii="Times New Roman" w:hAnsi="Times New Roman"/>
          <w:sz w:val="24"/>
          <w:szCs w:val="24"/>
          <w:lang w:val="it-IT"/>
        </w:rPr>
        <w:t>Grossmann, M. - Rainer, F</w:t>
      </w:r>
      <w:r w:rsidRPr="00F83487">
        <w:rPr>
          <w:rFonts w:ascii="Times New Roman" w:hAnsi="Times New Roman"/>
          <w:smallCaps/>
          <w:sz w:val="24"/>
          <w:szCs w:val="24"/>
          <w:lang w:val="it-IT"/>
        </w:rPr>
        <w:t>.</w:t>
      </w:r>
      <w:r w:rsidRPr="00F83487">
        <w:rPr>
          <w:rFonts w:ascii="Times New Roman" w:hAnsi="Times New Roman"/>
          <w:sz w:val="24"/>
          <w:szCs w:val="24"/>
          <w:lang w:val="it-IT"/>
        </w:rPr>
        <w:t xml:space="preserve"> (a cura di), </w:t>
      </w:r>
      <w:r w:rsidRPr="00F83487">
        <w:rPr>
          <w:rFonts w:ascii="Times New Roman" w:hAnsi="Times New Roman"/>
          <w:i/>
          <w:sz w:val="24"/>
          <w:szCs w:val="24"/>
          <w:lang w:val="it-IT"/>
        </w:rPr>
        <w:t>La formazione delle parole in italiano</w:t>
      </w:r>
      <w:r w:rsidRPr="00F83487">
        <w:rPr>
          <w:rFonts w:ascii="Times New Roman" w:hAnsi="Times New Roman"/>
          <w:sz w:val="24"/>
          <w:szCs w:val="24"/>
          <w:lang w:val="it-IT"/>
        </w:rPr>
        <w:t>, Tübingen, Niemezer, 2004, pp. 105</w:t>
      </w:r>
      <w:r>
        <w:rPr>
          <w:rFonts w:ascii="Times New Roman" w:hAnsi="Times New Roman"/>
          <w:sz w:val="24"/>
          <w:szCs w:val="24"/>
          <w:lang w:val="it-IT"/>
        </w:rPr>
        <w:t xml:space="preserve"> - 108.</w:t>
      </w:r>
    </w:p>
    <w:p w:rsidR="00BF759A" w:rsidRDefault="00BF759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66610E" w:rsidRDefault="0066610E">
      <w:pPr>
        <w:rPr>
          <w:rFonts w:ascii="Times New Roman" w:hAnsi="Times New Roman" w:cs="Times New Roman"/>
          <w:sz w:val="24"/>
          <w:szCs w:val="24"/>
        </w:rPr>
      </w:pPr>
    </w:p>
    <w:p w:rsidR="00685BCB" w:rsidRPr="008F5567" w:rsidRDefault="00685BC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F5567">
        <w:rPr>
          <w:rFonts w:ascii="Times New Roman" w:hAnsi="Times New Roman" w:cs="Times New Roman"/>
          <w:sz w:val="24"/>
          <w:szCs w:val="24"/>
          <w:lang w:val="it-IT"/>
        </w:rPr>
        <w:t>I prefissi sono gli affisi (elementi che non posono essistere da soli) che si mettono alla pa</w:t>
      </w:r>
      <w:r w:rsidR="00511780">
        <w:rPr>
          <w:rFonts w:ascii="Times New Roman" w:hAnsi="Times New Roman" w:cs="Times New Roman"/>
          <w:sz w:val="24"/>
          <w:szCs w:val="24"/>
          <w:lang w:val="it-IT"/>
        </w:rPr>
        <w:t>rte iniziale di una parola base con l’intenzione di modificarne il significato.</w:t>
      </w:r>
    </w:p>
    <w:p w:rsidR="00685BCB" w:rsidRPr="008F5567" w:rsidRDefault="00685BC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F5567">
        <w:rPr>
          <w:rFonts w:ascii="Times New Roman" w:hAnsi="Times New Roman" w:cs="Times New Roman"/>
          <w:sz w:val="24"/>
          <w:szCs w:val="24"/>
          <w:lang w:val="it-IT"/>
        </w:rPr>
        <w:t>[ Si tratta delle particelle adatte all’inizio della</w:t>
      </w:r>
      <w:r w:rsidR="003A5C8B"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 parola</w:t>
      </w:r>
      <w:r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 base </w:t>
      </w:r>
      <w:r w:rsidR="008F5567">
        <w:rPr>
          <w:rFonts w:ascii="Times New Roman" w:hAnsi="Times New Roman" w:cs="Times New Roman"/>
          <w:sz w:val="24"/>
          <w:szCs w:val="24"/>
          <w:lang w:val="it-IT"/>
        </w:rPr>
        <w:t xml:space="preserve">con </w:t>
      </w:r>
      <w:r w:rsidRPr="008F5567">
        <w:rPr>
          <w:rFonts w:ascii="Times New Roman" w:hAnsi="Times New Roman" w:cs="Times New Roman"/>
          <w:sz w:val="24"/>
          <w:szCs w:val="24"/>
          <w:lang w:val="it-IT"/>
        </w:rPr>
        <w:t>lo scopo di produrre nuovi vocaboli partendo da vocaboli che già esistono nel lessico].</w:t>
      </w:r>
    </w:p>
    <w:p w:rsidR="00685BCB" w:rsidRPr="008F5567" w:rsidRDefault="00685BC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mercato → </w:t>
      </w:r>
      <w:r w:rsidRPr="008F5567">
        <w:rPr>
          <w:rFonts w:ascii="Times New Roman" w:hAnsi="Times New Roman" w:cs="Times New Roman"/>
          <w:b/>
          <w:sz w:val="24"/>
          <w:szCs w:val="24"/>
          <w:lang w:val="it-IT"/>
        </w:rPr>
        <w:t>super</w:t>
      </w:r>
      <w:r w:rsidRPr="008F5567">
        <w:rPr>
          <w:rFonts w:ascii="Times New Roman" w:hAnsi="Times New Roman" w:cs="Times New Roman"/>
          <w:sz w:val="24"/>
          <w:szCs w:val="24"/>
          <w:lang w:val="it-IT"/>
        </w:rPr>
        <w:t>mercato</w:t>
      </w:r>
    </w:p>
    <w:p w:rsidR="00685BCB" w:rsidRPr="008F5567" w:rsidRDefault="00685BC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morale → </w:t>
      </w:r>
      <w:r w:rsidRPr="008F5567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8F5567">
        <w:rPr>
          <w:rFonts w:ascii="Times New Roman" w:hAnsi="Times New Roman" w:cs="Times New Roman"/>
          <w:sz w:val="24"/>
          <w:szCs w:val="24"/>
          <w:lang w:val="it-IT"/>
        </w:rPr>
        <w:t>morale</w:t>
      </w:r>
    </w:p>
    <w:p w:rsidR="00EB1ABD" w:rsidRPr="008F5567" w:rsidRDefault="00D0251D">
      <w:pPr>
        <w:rPr>
          <w:rFonts w:ascii="Times New Roman" w:hAnsi="Times New Roman"/>
          <w:sz w:val="20"/>
          <w:szCs w:val="20"/>
          <w:lang w:val="it-IT"/>
        </w:rPr>
      </w:pPr>
      <w:r w:rsidRPr="008F5567">
        <w:rPr>
          <w:rFonts w:ascii="Times New Roman" w:hAnsi="Times New Roman" w:cs="Times New Roman"/>
          <w:sz w:val="20"/>
          <w:szCs w:val="20"/>
          <w:lang w:val="it-IT"/>
        </w:rPr>
        <w:t>Le eccezioni al criterio di non autonomia sintattica sono rappresentate dai seguenti due casi.</w:t>
      </w:r>
      <w:r w:rsidR="00A323D6" w:rsidRPr="008F5567">
        <w:rPr>
          <w:rFonts w:ascii="Times New Roman" w:hAnsi="Times New Roman" w:cs="Times New Roman"/>
          <w:sz w:val="20"/>
          <w:szCs w:val="20"/>
          <w:lang w:val="it-IT"/>
        </w:rPr>
        <w:t xml:space="preserve"> Alcuni prefissi (es. maxi-, mini-, sub-, trans-) possono essere usati come accorciamenti, mantenendo il significato dell’intera base (es. minigonna, subaqueo, transessuale). Sono alcuni prefissi con la funzione appositiva usati in posizione postnominale (sconto super, </w:t>
      </w:r>
      <w:r w:rsidR="00E36359" w:rsidRPr="008F5567">
        <w:rPr>
          <w:rFonts w:ascii="Times New Roman" w:hAnsi="Times New Roman" w:cs="Times New Roman"/>
          <w:sz w:val="20"/>
          <w:szCs w:val="20"/>
          <w:lang w:val="it-IT"/>
        </w:rPr>
        <w:t>gonne micro, ecc.) con lo stesso significato che hanno nella loro posizione canonica</w:t>
      </w:r>
      <w:r w:rsidR="00E36359" w:rsidRPr="008F5567">
        <w:rPr>
          <w:rFonts w:ascii="Times New Roman" w:hAnsi="Times New Roman"/>
          <w:sz w:val="20"/>
          <w:szCs w:val="20"/>
          <w:lang w:val="it-IT"/>
        </w:rPr>
        <w:t>(microgonna, supersconto, ecc.).</w:t>
      </w:r>
      <w:r w:rsidR="00E36359" w:rsidRPr="008F5567">
        <w:rPr>
          <w:rStyle w:val="Znakapoznpodarou"/>
          <w:rFonts w:ascii="Times New Roman" w:hAnsi="Times New Roman"/>
          <w:sz w:val="20"/>
          <w:szCs w:val="20"/>
          <w:lang w:val="it-IT"/>
        </w:rPr>
        <w:footnoteReference w:id="1"/>
      </w:r>
    </w:p>
    <w:p w:rsidR="00EB1ABD" w:rsidRPr="008F5567" w:rsidRDefault="00EB1AB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Tra </w:t>
      </w:r>
      <w:r w:rsidR="00BC1984" w:rsidRPr="008F5567">
        <w:rPr>
          <w:rFonts w:ascii="Times New Roman" w:hAnsi="Times New Roman" w:cs="Times New Roman"/>
          <w:sz w:val="24"/>
          <w:szCs w:val="24"/>
          <w:lang w:val="it-IT"/>
        </w:rPr>
        <w:t>l‘</w:t>
      </w:r>
      <w:r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altra importante caratteristica dei prefissi </w:t>
      </w:r>
      <w:r w:rsidR="00BC1984" w:rsidRPr="008F5567">
        <w:rPr>
          <w:rFonts w:ascii="Times New Roman" w:hAnsi="Times New Roman" w:cs="Times New Roman"/>
          <w:sz w:val="24"/>
          <w:szCs w:val="24"/>
          <w:lang w:val="it-IT"/>
        </w:rPr>
        <w:t>appartiene il caso, in cui il prefisso si permette a una parola che è gia prefissata (preriscaldare, decongelare). Dall’altra parte, che è meno frequente si può notare, che esiste anche il caso in cui la parola prefissata si usa in funzione alla fine di un composto (es. batteria auto-missili).</w:t>
      </w:r>
      <w:r w:rsidR="0066610E">
        <w:rPr>
          <w:rStyle w:val="Znakapoznpodarou"/>
          <w:rFonts w:ascii="Times New Roman" w:hAnsi="Times New Roman" w:cs="Times New Roman"/>
          <w:sz w:val="24"/>
          <w:szCs w:val="24"/>
          <w:lang w:val="it-IT"/>
        </w:rPr>
        <w:footnoteReference w:id="2"/>
      </w:r>
    </w:p>
    <w:p w:rsidR="00EB1ABD" w:rsidRPr="008F5567" w:rsidRDefault="008F5567">
      <w:pPr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I prefissi s</w:t>
      </w:r>
      <w:r w:rsidR="00BC1984" w:rsidRPr="008F5567">
        <w:rPr>
          <w:rFonts w:ascii="Times New Roman" w:hAnsi="Times New Roman" w:cs="Times New Roman"/>
          <w:sz w:val="20"/>
          <w:szCs w:val="20"/>
          <w:lang w:val="it-IT"/>
        </w:rPr>
        <w:t>tabiliscono un rapporto di subordinazione con la base lessicale, rispetto alla quale svolgono la funzione di determinante</w:t>
      </w:r>
      <w:r w:rsidR="00BF759A" w:rsidRPr="008F5567">
        <w:rPr>
          <w:rFonts w:ascii="Times New Roman" w:hAnsi="Times New Roman" w:cs="Times New Roman"/>
          <w:sz w:val="20"/>
          <w:szCs w:val="20"/>
          <w:lang w:val="it-IT"/>
        </w:rPr>
        <w:t>; a differenza dei composti non possono avere rapporti di tipo coordinativo con la parola cui si premettono.</w:t>
      </w:r>
      <w:r w:rsidR="00BF759A" w:rsidRPr="008F5567">
        <w:rPr>
          <w:rStyle w:val="Znakapoznpodarou"/>
          <w:rFonts w:ascii="Times New Roman" w:hAnsi="Times New Roman" w:cs="Times New Roman"/>
          <w:sz w:val="20"/>
          <w:szCs w:val="20"/>
          <w:lang w:val="it-IT"/>
        </w:rPr>
        <w:footnoteReference w:id="3"/>
      </w:r>
    </w:p>
    <w:p w:rsidR="00EB54C2" w:rsidRPr="008F5567" w:rsidRDefault="00BF759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Ci sono </w:t>
      </w:r>
      <w:r w:rsidR="00C1252C"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anche </w:t>
      </w:r>
      <w:r w:rsidRPr="008F5567">
        <w:rPr>
          <w:rFonts w:ascii="Times New Roman" w:hAnsi="Times New Roman" w:cs="Times New Roman"/>
          <w:sz w:val="24"/>
          <w:szCs w:val="24"/>
          <w:lang w:val="it-IT"/>
        </w:rPr>
        <w:t>i prefissi che si adattano sia a nome, sia ad aggettivo e sia a verbo.</w:t>
      </w:r>
      <w:r w:rsidR="00EB54C2"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BF759A" w:rsidRPr="008F5567" w:rsidRDefault="00EB54C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F5567">
        <w:rPr>
          <w:rFonts w:ascii="Times New Roman" w:hAnsi="Times New Roman" w:cs="Times New Roman"/>
          <w:sz w:val="24"/>
          <w:szCs w:val="24"/>
          <w:lang w:val="it-IT"/>
        </w:rPr>
        <w:t>[Dopo l’aggiunto di questo prefisso, non si cambia categoria grammaticale e dunque il nome rimane nome, l’aggettivo rimane aggetivo e verbo rimane verbo].</w:t>
      </w:r>
    </w:p>
    <w:p w:rsidR="00EB54C2" w:rsidRPr="008F5567" w:rsidRDefault="00EB54C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 es.</w:t>
      </w:r>
      <w:r w:rsidR="00BF759A"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 : </w:t>
      </w:r>
      <w:r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nom. </w:t>
      </w:r>
      <w:r w:rsidR="00147AE5">
        <w:rPr>
          <w:rFonts w:ascii="Times New Roman" w:hAnsi="Times New Roman" w:cs="Times New Roman"/>
          <w:sz w:val="24"/>
          <w:szCs w:val="24"/>
          <w:lang w:val="it-IT"/>
        </w:rPr>
        <w:t>super-</w:t>
      </w:r>
      <w:r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 + </w:t>
      </w:r>
      <w:r w:rsidR="00147AE5">
        <w:rPr>
          <w:rFonts w:ascii="Times New Roman" w:hAnsi="Times New Roman" w:cs="Times New Roman"/>
          <w:sz w:val="24"/>
          <w:szCs w:val="24"/>
          <w:lang w:val="it-IT"/>
        </w:rPr>
        <w:t>mercato</w:t>
      </w:r>
      <w:r w:rsidRPr="008F5567">
        <w:rPr>
          <w:rFonts w:ascii="Times New Roman" w:hAnsi="Times New Roman" w:cs="Times New Roman"/>
          <w:sz w:val="24"/>
          <w:szCs w:val="24"/>
          <w:lang w:val="it-IT"/>
        </w:rPr>
        <w:t>- → supermercato (nom.)</w:t>
      </w:r>
    </w:p>
    <w:p w:rsidR="00EB54C2" w:rsidRPr="008F5567" w:rsidRDefault="008F5567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="00147AE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B54C2"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agg. </w:t>
      </w:r>
      <w:r w:rsidR="00147AE5">
        <w:rPr>
          <w:rFonts w:ascii="Times New Roman" w:hAnsi="Times New Roman" w:cs="Times New Roman"/>
          <w:sz w:val="24"/>
          <w:szCs w:val="24"/>
          <w:lang w:val="it-IT"/>
        </w:rPr>
        <w:t>a- + morale</w:t>
      </w:r>
      <w:r w:rsidR="00EB54C2"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 → amorale (agg.)</w:t>
      </w:r>
    </w:p>
    <w:p w:rsidR="00EB54C2" w:rsidRPr="008F5567" w:rsidRDefault="008F5567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 w:rsidR="00147AE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B54C2"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v.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="00147AE5">
        <w:rPr>
          <w:rFonts w:ascii="Times New Roman" w:hAnsi="Times New Roman" w:cs="Times New Roman"/>
          <w:sz w:val="24"/>
          <w:szCs w:val="24"/>
          <w:lang w:val="it-IT"/>
        </w:rPr>
        <w:t>ri- + fare</w:t>
      </w:r>
      <w:r w:rsidR="00EB54C2" w:rsidRPr="008F5567">
        <w:rPr>
          <w:rFonts w:ascii="Times New Roman" w:hAnsi="Times New Roman" w:cs="Times New Roman"/>
          <w:sz w:val="24"/>
          <w:szCs w:val="24"/>
          <w:lang w:val="it-IT"/>
        </w:rPr>
        <w:t xml:space="preserve"> → rifare (v.) </w:t>
      </w:r>
    </w:p>
    <w:p w:rsidR="00EB54C2" w:rsidRPr="008F5567" w:rsidRDefault="00C1252C">
      <w:pPr>
        <w:rPr>
          <w:rFonts w:ascii="Times New Roman" w:hAnsi="Times New Roman"/>
          <w:sz w:val="24"/>
          <w:szCs w:val="24"/>
          <w:lang w:val="it-IT"/>
        </w:rPr>
      </w:pPr>
      <w:r w:rsidRPr="008F5567">
        <w:rPr>
          <w:rFonts w:ascii="Times New Roman" w:hAnsi="Times New Roman"/>
          <w:sz w:val="24"/>
          <w:szCs w:val="24"/>
          <w:lang w:val="it-IT"/>
        </w:rPr>
        <w:t>Possiamo anche notare che i prefissi sono affissi derivazionali e tra le sue  importanti caratteristiche si considera l’incapacità di essere flessi e derivati</w:t>
      </w:r>
      <w:r w:rsidRPr="008F5567">
        <w:rPr>
          <w:rFonts w:ascii="Times New Roman" w:hAnsi="Times New Roman" w:cs="Times New Roman"/>
          <w:sz w:val="24"/>
          <w:szCs w:val="24"/>
          <w:lang w:val="it-IT"/>
        </w:rPr>
        <w:t>;</w:t>
      </w:r>
      <w:r w:rsidRPr="008F5567">
        <w:rPr>
          <w:rFonts w:ascii="Times New Roman" w:hAnsi="Times New Roman"/>
          <w:sz w:val="24"/>
          <w:szCs w:val="24"/>
          <w:lang w:val="it-IT"/>
        </w:rPr>
        <w:t xml:space="preserve"> sono fissi all’interno della </w:t>
      </w:r>
      <w:r w:rsidRPr="008F5567">
        <w:rPr>
          <w:rFonts w:ascii="Times New Roman" w:hAnsi="Times New Roman"/>
          <w:sz w:val="24"/>
          <w:szCs w:val="24"/>
          <w:lang w:val="it-IT"/>
        </w:rPr>
        <w:lastRenderedPageBreak/>
        <w:t>parola complessa, il loro rapporto con la base è di tipo determinante e si tratta di elementi che sono più brevi della parola.</w:t>
      </w:r>
    </w:p>
    <w:p w:rsidR="00C1252C" w:rsidRPr="008F5567" w:rsidRDefault="00C1252C">
      <w:pPr>
        <w:rPr>
          <w:rFonts w:ascii="Times New Roman" w:hAnsi="Times New Roman"/>
          <w:sz w:val="20"/>
          <w:szCs w:val="20"/>
          <w:lang w:val="it-IT"/>
        </w:rPr>
      </w:pPr>
      <w:r w:rsidRPr="008F5567">
        <w:rPr>
          <w:rFonts w:ascii="Times New Roman" w:hAnsi="Times New Roman"/>
          <w:sz w:val="20"/>
          <w:szCs w:val="20"/>
          <w:lang w:val="it-IT"/>
        </w:rPr>
        <w:t>Pur partecipando a pieno titolo alla derivazione affissale, la prefissazione è considerata un processo meno tipicamente derivazionale della suffissazione. Tale affermazione si fonda sia su motivi morfosintattici sia motivi fonologici.</w:t>
      </w:r>
      <w:r w:rsidRPr="008F5567">
        <w:rPr>
          <w:rStyle w:val="Znakapoznpodarou"/>
          <w:rFonts w:ascii="Times New Roman" w:hAnsi="Times New Roman"/>
          <w:sz w:val="20"/>
          <w:szCs w:val="20"/>
          <w:lang w:val="it-IT"/>
        </w:rPr>
        <w:footnoteReference w:id="4"/>
      </w:r>
    </w:p>
    <w:p w:rsidR="00C1252C" w:rsidRPr="008F5567" w:rsidRDefault="00C1252C" w:rsidP="00C1252C">
      <w:pPr>
        <w:rPr>
          <w:rFonts w:ascii="Times New Roman" w:hAnsi="Times New Roman"/>
          <w:sz w:val="24"/>
          <w:szCs w:val="24"/>
          <w:lang w:val="it-IT"/>
        </w:rPr>
      </w:pPr>
      <w:r w:rsidRPr="008F5567">
        <w:rPr>
          <w:rFonts w:ascii="Times New Roman" w:hAnsi="Times New Roman"/>
          <w:sz w:val="24"/>
          <w:szCs w:val="24"/>
          <w:lang w:val="it-IT"/>
        </w:rPr>
        <w:t>Dall’aspetto morfosintattico i prefissi non possono stabilire la categoria sintattica della parola derivata e per quel che riguarda l’aspetto fonologico, i prefissi dispongono con minor grado di coesione.</w:t>
      </w:r>
    </w:p>
    <w:p w:rsidR="00147AE5" w:rsidRDefault="00147AE5" w:rsidP="00147AE5">
      <w:pPr>
        <w:rPr>
          <w:rFonts w:ascii="Times New Roman" w:hAnsi="Times New Roman"/>
          <w:b/>
          <w:sz w:val="24"/>
          <w:szCs w:val="24"/>
        </w:rPr>
      </w:pPr>
    </w:p>
    <w:p w:rsidR="00147AE5" w:rsidRPr="0066610E" w:rsidRDefault="00147AE5" w:rsidP="00147AE5">
      <w:pPr>
        <w:rPr>
          <w:rFonts w:ascii="Times New Roman" w:hAnsi="Times New Roman"/>
          <w:b/>
          <w:sz w:val="24"/>
          <w:szCs w:val="24"/>
          <w:lang w:val="it-IT"/>
        </w:rPr>
      </w:pPr>
      <w:r w:rsidRPr="0066610E">
        <w:rPr>
          <w:rFonts w:ascii="Times New Roman" w:hAnsi="Times New Roman"/>
          <w:b/>
          <w:sz w:val="24"/>
          <w:szCs w:val="24"/>
          <w:lang w:val="it-IT"/>
        </w:rPr>
        <w:t>Monografia</w:t>
      </w:r>
    </w:p>
    <w:p w:rsidR="00147AE5" w:rsidRPr="0066610E" w:rsidRDefault="00147AE5" w:rsidP="00147AE5">
      <w:pPr>
        <w:rPr>
          <w:rFonts w:ascii="Times New Roman" w:hAnsi="Times New Roman"/>
          <w:sz w:val="24"/>
          <w:szCs w:val="24"/>
          <w:lang w:val="it-IT"/>
        </w:rPr>
      </w:pPr>
      <w:r w:rsidRPr="0066610E">
        <w:rPr>
          <w:rFonts w:ascii="Times New Roman" w:hAnsi="Times New Roman"/>
          <w:sz w:val="24"/>
          <w:szCs w:val="24"/>
          <w:lang w:val="it-IT"/>
        </w:rPr>
        <w:t xml:space="preserve">Štichauer, P., </w:t>
      </w:r>
      <w:r w:rsidRPr="0066610E">
        <w:rPr>
          <w:rFonts w:ascii="Times New Roman" w:hAnsi="Times New Roman"/>
          <w:i/>
          <w:sz w:val="24"/>
          <w:szCs w:val="24"/>
          <w:lang w:val="it-IT"/>
        </w:rPr>
        <w:t>Tvoření slov v současné italštině</w:t>
      </w:r>
      <w:r w:rsidRPr="0066610E">
        <w:rPr>
          <w:rFonts w:ascii="Times New Roman" w:hAnsi="Times New Roman"/>
          <w:sz w:val="24"/>
          <w:szCs w:val="24"/>
          <w:lang w:val="it-IT"/>
        </w:rPr>
        <w:t>, Praha, Karolinum 2007.</w:t>
      </w:r>
    </w:p>
    <w:p w:rsidR="00147AE5" w:rsidRPr="0066610E" w:rsidRDefault="00147AE5" w:rsidP="00147AE5">
      <w:pPr>
        <w:rPr>
          <w:rFonts w:ascii="Times New Roman" w:hAnsi="Times New Roman"/>
          <w:b/>
          <w:sz w:val="24"/>
          <w:szCs w:val="24"/>
          <w:lang w:val="it-IT"/>
        </w:rPr>
      </w:pPr>
      <w:r w:rsidRPr="0066610E">
        <w:rPr>
          <w:rFonts w:ascii="Times New Roman" w:hAnsi="Times New Roman"/>
          <w:b/>
          <w:sz w:val="24"/>
          <w:szCs w:val="24"/>
          <w:lang w:val="it-IT"/>
        </w:rPr>
        <w:t>Miscellanea</w:t>
      </w:r>
    </w:p>
    <w:p w:rsidR="00147AE5" w:rsidRPr="00147AE5" w:rsidRDefault="00147AE5" w:rsidP="00147AE5">
      <w:pPr>
        <w:rPr>
          <w:rFonts w:ascii="Times New Roman" w:hAnsi="Times New Roman"/>
          <w:sz w:val="24"/>
          <w:szCs w:val="24"/>
          <w:lang w:val="it-IT"/>
        </w:rPr>
      </w:pPr>
      <w:r w:rsidRPr="00147AE5">
        <w:rPr>
          <w:rFonts w:ascii="Times New Roman" w:hAnsi="Times New Roman"/>
          <w:sz w:val="24"/>
          <w:szCs w:val="24"/>
          <w:lang w:val="it-IT"/>
        </w:rPr>
        <w:t xml:space="preserve">Renzi L., Salvi G., Cardinaletti A. (a cura di), </w:t>
      </w:r>
      <w:r w:rsidRPr="00147AE5">
        <w:rPr>
          <w:rFonts w:ascii="Times New Roman" w:hAnsi="Times New Roman"/>
          <w:i/>
          <w:sz w:val="24"/>
          <w:szCs w:val="24"/>
          <w:lang w:val="it-IT"/>
        </w:rPr>
        <w:t>Grande grammatica italiana di consultazione</w:t>
      </w:r>
      <w:r w:rsidRPr="00147AE5">
        <w:rPr>
          <w:rFonts w:ascii="Times New Roman" w:hAnsi="Times New Roman"/>
          <w:sz w:val="24"/>
          <w:szCs w:val="24"/>
          <w:lang w:val="it-IT"/>
        </w:rPr>
        <w:t xml:space="preserve">. Vol. 3: </w:t>
      </w:r>
      <w:r w:rsidRPr="00147AE5">
        <w:rPr>
          <w:rFonts w:ascii="Times New Roman" w:hAnsi="Times New Roman"/>
          <w:i/>
          <w:sz w:val="24"/>
          <w:szCs w:val="24"/>
          <w:lang w:val="it-IT"/>
        </w:rPr>
        <w:t>Tipi</w:t>
      </w:r>
      <w:r w:rsidRPr="00147AE5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147AE5">
        <w:rPr>
          <w:rFonts w:ascii="Times New Roman" w:hAnsi="Times New Roman"/>
          <w:i/>
          <w:sz w:val="24"/>
          <w:szCs w:val="24"/>
          <w:lang w:val="it-IT"/>
        </w:rPr>
        <w:t>di frase, deissi, formazione delle parole</w:t>
      </w:r>
      <w:r w:rsidRPr="00147AE5">
        <w:rPr>
          <w:rFonts w:ascii="Times New Roman" w:hAnsi="Times New Roman"/>
          <w:sz w:val="24"/>
          <w:szCs w:val="24"/>
          <w:lang w:val="it-IT"/>
        </w:rPr>
        <w:t>. Bologna, Il Mulino, 2001.</w:t>
      </w:r>
    </w:p>
    <w:p w:rsidR="00147AE5" w:rsidRPr="00147AE5" w:rsidRDefault="00147AE5" w:rsidP="00147AE5">
      <w:pPr>
        <w:rPr>
          <w:rFonts w:ascii="Times New Roman" w:hAnsi="Times New Roman"/>
          <w:b/>
          <w:sz w:val="24"/>
          <w:szCs w:val="24"/>
          <w:lang w:val="it-IT"/>
        </w:rPr>
      </w:pPr>
      <w:r w:rsidRPr="00147AE5">
        <w:rPr>
          <w:rFonts w:ascii="Times New Roman" w:hAnsi="Times New Roman"/>
          <w:b/>
          <w:sz w:val="24"/>
          <w:szCs w:val="24"/>
          <w:lang w:val="it-IT"/>
        </w:rPr>
        <w:t>Atto di convegno</w:t>
      </w:r>
    </w:p>
    <w:p w:rsidR="00147AE5" w:rsidRPr="00147AE5" w:rsidRDefault="00147AE5" w:rsidP="00147AE5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</w:pPr>
      <w:r w:rsidRPr="00147AE5">
        <w:rPr>
          <w:rFonts w:ascii="Times New Roman" w:hAnsi="Times New Roman"/>
          <w:sz w:val="24"/>
          <w:szCs w:val="24"/>
          <w:lang w:val="it-IT"/>
        </w:rPr>
        <w:t xml:space="preserve">Iacobini C., </w:t>
      </w:r>
      <w:r w:rsidRPr="00147AE5">
        <w:rPr>
          <w:rFonts w:ascii="Times New Roman" w:hAnsi="Times New Roman"/>
          <w:i/>
          <w:sz w:val="24"/>
          <w:szCs w:val="24"/>
          <w:lang w:val="it-IT"/>
        </w:rPr>
        <w:t>I prefissi dell’italiano</w:t>
      </w:r>
      <w:r w:rsidRPr="00147AE5">
        <w:rPr>
          <w:rFonts w:ascii="Times New Roman" w:hAnsi="Times New Roman"/>
          <w:sz w:val="24"/>
          <w:szCs w:val="24"/>
          <w:lang w:val="it-IT"/>
        </w:rPr>
        <w:t xml:space="preserve">, in Benincà, Mioni A. </w:t>
      </w:r>
      <w:r w:rsidRPr="00147AE5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 xml:space="preserve">&amp; Vanelli L. (a cura di), in </w:t>
      </w:r>
      <w:r w:rsidRPr="00147AE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it-IT"/>
        </w:rPr>
        <w:t>Fonologia e</w:t>
      </w:r>
      <w:r w:rsidRPr="00147AE5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Pr="00147AE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it-IT"/>
        </w:rPr>
        <w:t>morfologia dell’italiano e dei dialetti d’Italia</w:t>
      </w:r>
      <w:r w:rsidRPr="00147AE5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>, Atti del XXXI congresso della Società di Linguistica Italiana (Padova, 25-27 settembre 1997), Roma, Bulzoni, pp. 369 - 399.</w:t>
      </w:r>
    </w:p>
    <w:p w:rsidR="00147AE5" w:rsidRPr="00147AE5" w:rsidRDefault="00147AE5" w:rsidP="00147AE5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it-IT"/>
        </w:rPr>
      </w:pPr>
      <w:r w:rsidRPr="00147AE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it-IT"/>
        </w:rPr>
        <w:t>Articolo di rivista</w:t>
      </w:r>
    </w:p>
    <w:p w:rsidR="00147AE5" w:rsidRPr="00147AE5" w:rsidRDefault="00147AE5" w:rsidP="00147AE5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</w:pPr>
      <w:r w:rsidRPr="00147AE5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 xml:space="preserve">Mantovani L., </w:t>
      </w:r>
      <w:r w:rsidRPr="00147AE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it-IT"/>
        </w:rPr>
        <w:t>Morfologia derivazionale: risvolti applicativi per l’insegnamento dell’italiano L2/L3,</w:t>
      </w:r>
      <w:r w:rsidRPr="00147AE5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 xml:space="preserve"> in Italiano LinguaDue, VI, 2014, 1, pp. 97 - 116.</w:t>
      </w:r>
    </w:p>
    <w:p w:rsidR="00C1252C" w:rsidRPr="00147AE5" w:rsidRDefault="00C1252C">
      <w:pPr>
        <w:rPr>
          <w:rFonts w:ascii="Times New Roman" w:hAnsi="Times New Roman" w:cs="Times New Roman"/>
          <w:sz w:val="24"/>
          <w:szCs w:val="24"/>
        </w:rPr>
      </w:pPr>
    </w:p>
    <w:sectPr w:rsidR="00C1252C" w:rsidRPr="00147AE5" w:rsidSect="00280B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07" w:rsidRDefault="00A61707" w:rsidP="00E36359">
      <w:pPr>
        <w:spacing w:after="0" w:line="240" w:lineRule="auto"/>
      </w:pPr>
      <w:r>
        <w:separator/>
      </w:r>
    </w:p>
  </w:endnote>
  <w:endnote w:type="continuationSeparator" w:id="0">
    <w:p w:rsidR="00A61707" w:rsidRDefault="00A61707" w:rsidP="00E3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07" w:rsidRDefault="00A61707" w:rsidP="00E36359">
      <w:pPr>
        <w:spacing w:after="0" w:line="240" w:lineRule="auto"/>
      </w:pPr>
      <w:r>
        <w:separator/>
      </w:r>
    </w:p>
  </w:footnote>
  <w:footnote w:type="continuationSeparator" w:id="0">
    <w:p w:rsidR="00A61707" w:rsidRDefault="00A61707" w:rsidP="00E36359">
      <w:pPr>
        <w:spacing w:after="0" w:line="240" w:lineRule="auto"/>
      </w:pPr>
      <w:r>
        <w:continuationSeparator/>
      </w:r>
    </w:p>
  </w:footnote>
  <w:footnote w:id="1">
    <w:p w:rsidR="00E36359" w:rsidRPr="0066610E" w:rsidRDefault="00E36359">
      <w:pPr>
        <w:pStyle w:val="Textpoznpodarou"/>
        <w:rPr>
          <w:rFonts w:ascii="Times New Roman" w:hAnsi="Times New Roman"/>
          <w:lang w:val="it-IT"/>
        </w:rPr>
      </w:pPr>
      <w:r w:rsidRPr="0066610E">
        <w:rPr>
          <w:rStyle w:val="Znakapoznpodarou"/>
          <w:lang w:val="it-IT"/>
        </w:rPr>
        <w:footnoteRef/>
      </w:r>
      <w:r w:rsidRPr="0066610E">
        <w:rPr>
          <w:lang w:val="it-IT"/>
        </w:rPr>
        <w:t xml:space="preserve"> </w:t>
      </w:r>
      <w:r w:rsidRPr="0066610E">
        <w:rPr>
          <w:rFonts w:ascii="Times New Roman" w:hAnsi="Times New Roman"/>
          <w:lang w:val="it-IT"/>
        </w:rPr>
        <w:t>Grossmann M. - Rainer, F</w:t>
      </w:r>
      <w:r w:rsidRPr="0066610E">
        <w:rPr>
          <w:smallCaps/>
          <w:lang w:val="it-IT"/>
        </w:rPr>
        <w:t>.</w:t>
      </w:r>
      <w:r w:rsidRPr="0066610E">
        <w:rPr>
          <w:lang w:val="it-IT"/>
        </w:rPr>
        <w:t xml:space="preserve"> </w:t>
      </w:r>
      <w:r w:rsidRPr="0066610E">
        <w:rPr>
          <w:rFonts w:ascii="Times New Roman" w:hAnsi="Times New Roman"/>
          <w:lang w:val="it-IT"/>
        </w:rPr>
        <w:t xml:space="preserve">(a cura di), </w:t>
      </w:r>
      <w:r w:rsidRPr="0066610E">
        <w:rPr>
          <w:rFonts w:ascii="Times New Roman" w:hAnsi="Times New Roman"/>
          <w:i/>
          <w:lang w:val="it-IT"/>
        </w:rPr>
        <w:t>La formazione delle parole in italiano</w:t>
      </w:r>
      <w:r w:rsidRPr="0066610E">
        <w:rPr>
          <w:rFonts w:ascii="Times New Roman" w:hAnsi="Times New Roman"/>
          <w:lang w:val="it-IT"/>
        </w:rPr>
        <w:t>, Tübingen, Niemezer, 2004, p. 105</w:t>
      </w:r>
    </w:p>
  </w:footnote>
  <w:footnote w:id="2">
    <w:p w:rsidR="0066610E" w:rsidRPr="0066610E" w:rsidRDefault="0066610E">
      <w:pPr>
        <w:pStyle w:val="Textpoznpodarou"/>
        <w:rPr>
          <w:rFonts w:ascii="Times New Roman" w:hAnsi="Times New Roman" w:cs="Times New Roman"/>
          <w:lang w:val="it-IT"/>
        </w:rPr>
      </w:pPr>
      <w:r w:rsidRPr="0066610E">
        <w:rPr>
          <w:rStyle w:val="Znakapoznpodarou"/>
          <w:rFonts w:ascii="Times New Roman" w:hAnsi="Times New Roman" w:cs="Times New Roman"/>
          <w:lang w:val="it-IT"/>
        </w:rPr>
        <w:footnoteRef/>
      </w:r>
      <w:r w:rsidRPr="0066610E">
        <w:rPr>
          <w:rFonts w:ascii="Times New Roman" w:hAnsi="Times New Roman" w:cs="Times New Roman"/>
          <w:lang w:val="it-IT"/>
        </w:rPr>
        <w:t xml:space="preserve"> </w:t>
      </w:r>
      <w:r w:rsidRPr="0066610E">
        <w:rPr>
          <w:rFonts w:ascii="Times New Roman" w:hAnsi="Times New Roman" w:cs="Times New Roman"/>
          <w:lang w:val="it-IT"/>
        </w:rPr>
        <w:t>Ibidem, p. 105</w:t>
      </w:r>
    </w:p>
  </w:footnote>
  <w:footnote w:id="3">
    <w:p w:rsidR="00BF759A" w:rsidRDefault="00BF759A">
      <w:pPr>
        <w:pStyle w:val="Textpoznpodarou"/>
      </w:pPr>
      <w:r w:rsidRPr="0066610E">
        <w:rPr>
          <w:rStyle w:val="Znakapoznpodarou"/>
          <w:rFonts w:ascii="Times New Roman" w:hAnsi="Times New Roman" w:cs="Times New Roman"/>
          <w:lang w:val="it-IT"/>
        </w:rPr>
        <w:footnoteRef/>
      </w:r>
      <w:r w:rsidRPr="0066610E">
        <w:rPr>
          <w:rFonts w:ascii="Times New Roman" w:hAnsi="Times New Roman" w:cs="Times New Roman"/>
          <w:lang w:val="it-IT"/>
        </w:rPr>
        <w:t xml:space="preserve"> </w:t>
      </w:r>
      <w:r w:rsidRPr="0066610E">
        <w:rPr>
          <w:rFonts w:ascii="Times New Roman" w:hAnsi="Times New Roman" w:cs="Times New Roman"/>
          <w:lang w:val="it-IT"/>
        </w:rPr>
        <w:t>Ibidem, p. 105</w:t>
      </w:r>
    </w:p>
  </w:footnote>
  <w:footnote w:id="4">
    <w:p w:rsidR="00C1252C" w:rsidRPr="0066610E" w:rsidRDefault="00C1252C">
      <w:pPr>
        <w:pStyle w:val="Textpoznpodarou"/>
        <w:rPr>
          <w:lang w:val="it-IT"/>
        </w:rPr>
      </w:pPr>
      <w:r w:rsidRPr="0066610E">
        <w:rPr>
          <w:rStyle w:val="Znakapoznpodarou"/>
          <w:lang w:val="it-IT"/>
        </w:rPr>
        <w:footnoteRef/>
      </w:r>
      <w:r w:rsidRPr="0066610E">
        <w:rPr>
          <w:lang w:val="it-IT"/>
        </w:rPr>
        <w:t xml:space="preserve"> </w:t>
      </w:r>
      <w:r w:rsidRPr="0066610E">
        <w:rPr>
          <w:rFonts w:ascii="Times New Roman" w:hAnsi="Times New Roman" w:cs="Times New Roman"/>
          <w:lang w:val="it-IT"/>
        </w:rPr>
        <w:t>Ibidem, p. 107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0E" w:rsidRDefault="0066610E">
    <w:pPr>
      <w:pStyle w:val="Zhlav"/>
    </w:pPr>
    <w:r>
      <w:t xml:space="preserve">Simona </w:t>
    </w:r>
    <w:proofErr w:type="spellStart"/>
    <w:r>
      <w:t>Chrapanová</w:t>
    </w:r>
    <w:proofErr w:type="spellEnd"/>
  </w:p>
  <w:p w:rsidR="0066610E" w:rsidRDefault="0066610E">
    <w:pPr>
      <w:pStyle w:val="Zhlav"/>
    </w:pPr>
    <w:r>
      <w:t>415316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BCB"/>
    <w:rsid w:val="00147AE5"/>
    <w:rsid w:val="00280BC6"/>
    <w:rsid w:val="003A5C8B"/>
    <w:rsid w:val="003E0D48"/>
    <w:rsid w:val="00511780"/>
    <w:rsid w:val="00521F96"/>
    <w:rsid w:val="0066610E"/>
    <w:rsid w:val="00685BCB"/>
    <w:rsid w:val="007F78A3"/>
    <w:rsid w:val="008F5567"/>
    <w:rsid w:val="00903576"/>
    <w:rsid w:val="00A323D6"/>
    <w:rsid w:val="00A61707"/>
    <w:rsid w:val="00BC1984"/>
    <w:rsid w:val="00BF759A"/>
    <w:rsid w:val="00C1252C"/>
    <w:rsid w:val="00D0251D"/>
    <w:rsid w:val="00D759B5"/>
    <w:rsid w:val="00E36359"/>
    <w:rsid w:val="00EB1ABD"/>
    <w:rsid w:val="00EB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B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635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635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6359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66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610E"/>
  </w:style>
  <w:style w:type="paragraph" w:styleId="Zpat">
    <w:name w:val="footer"/>
    <w:basedOn w:val="Normln"/>
    <w:link w:val="ZpatChar"/>
    <w:uiPriority w:val="99"/>
    <w:semiHidden/>
    <w:unhideWhenUsed/>
    <w:rsid w:val="0066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6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A5839-DFA8-4D33-B678-5BF40D3E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Chrapanová</dc:creator>
  <cp:lastModifiedBy>Simona Chrapanová</cp:lastModifiedBy>
  <cp:revision>3</cp:revision>
  <dcterms:created xsi:type="dcterms:W3CDTF">2016-02-04T08:05:00Z</dcterms:created>
  <dcterms:modified xsi:type="dcterms:W3CDTF">2016-02-04T17:02:00Z</dcterms:modified>
</cp:coreProperties>
</file>