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418" w:rsidRDefault="0033329D" w:rsidP="0033329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329D">
        <w:rPr>
          <w:rFonts w:ascii="Times New Roman" w:hAnsi="Times New Roman" w:cs="Times New Roman"/>
          <w:b/>
          <w:sz w:val="24"/>
          <w:szCs w:val="24"/>
          <w:u w:val="single"/>
        </w:rPr>
        <w:t>Obetovanie Izáka</w:t>
      </w:r>
    </w:p>
    <w:p w:rsidR="00F64ABA" w:rsidRDefault="003A0C1D" w:rsidP="003332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Jednou</w:t>
      </w:r>
      <w:r w:rsidR="00F64ABA">
        <w:rPr>
          <w:rFonts w:ascii="Times New Roman" w:hAnsi="Times New Roman" w:cs="Times New Roman"/>
          <w:sz w:val="24"/>
          <w:szCs w:val="24"/>
        </w:rPr>
        <w:t xml:space="preserve"> z najčastejšie spracovávaných </w:t>
      </w:r>
      <w:r>
        <w:rPr>
          <w:rFonts w:ascii="Times New Roman" w:hAnsi="Times New Roman" w:cs="Times New Roman"/>
          <w:sz w:val="24"/>
          <w:szCs w:val="24"/>
        </w:rPr>
        <w:t>tém</w:t>
      </w:r>
      <w:r w:rsidR="00F64ABA">
        <w:rPr>
          <w:rFonts w:ascii="Times New Roman" w:hAnsi="Times New Roman" w:cs="Times New Roman"/>
          <w:sz w:val="24"/>
          <w:szCs w:val="24"/>
        </w:rPr>
        <w:t xml:space="preserve"> zo Starého zákona je Obetovanie Izáka. Pre tento námet nie je možné presne špecifikovať miesto, pre ktorý je </w:t>
      </w:r>
      <w:r>
        <w:rPr>
          <w:rFonts w:ascii="Times New Roman" w:hAnsi="Times New Roman" w:cs="Times New Roman"/>
          <w:sz w:val="24"/>
          <w:szCs w:val="24"/>
        </w:rPr>
        <w:t>určený, možno práve kvôli jeho</w:t>
      </w:r>
      <w:r w:rsidR="00F64ABA">
        <w:rPr>
          <w:rFonts w:ascii="Times New Roman" w:hAnsi="Times New Roman" w:cs="Times New Roman"/>
          <w:sz w:val="24"/>
          <w:szCs w:val="24"/>
        </w:rPr>
        <w:t xml:space="preserve"> širokému záberu. </w:t>
      </w:r>
      <w:r w:rsidR="00D37F83">
        <w:rPr>
          <w:rFonts w:ascii="Times New Roman" w:hAnsi="Times New Roman" w:cs="Times New Roman"/>
          <w:sz w:val="24"/>
          <w:szCs w:val="24"/>
        </w:rPr>
        <w:t>Príbeh</w:t>
      </w:r>
      <w:r w:rsidR="0083673B">
        <w:rPr>
          <w:rFonts w:ascii="Times New Roman" w:hAnsi="Times New Roman" w:cs="Times New Roman"/>
          <w:sz w:val="24"/>
          <w:szCs w:val="24"/>
        </w:rPr>
        <w:t xml:space="preserve"> Abrahamovej obete</w:t>
      </w:r>
      <w:r>
        <w:rPr>
          <w:rFonts w:ascii="Times New Roman" w:hAnsi="Times New Roman" w:cs="Times New Roman"/>
          <w:sz w:val="24"/>
          <w:szCs w:val="24"/>
        </w:rPr>
        <w:t xml:space="preserve"> budeme</w:t>
      </w:r>
      <w:r w:rsidR="008367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aplikovať</w:t>
      </w:r>
      <w:r w:rsidR="0083673B">
        <w:rPr>
          <w:rFonts w:ascii="Times New Roman" w:hAnsi="Times New Roman" w:cs="Times New Roman"/>
          <w:sz w:val="24"/>
          <w:szCs w:val="24"/>
        </w:rPr>
        <w:t xml:space="preserve"> na troch rôznych dielach.</w:t>
      </w:r>
      <w:r w:rsidR="0083673B">
        <w:rPr>
          <w:rFonts w:ascii="Times New Roman" w:hAnsi="Times New Roman" w:cs="Times New Roman"/>
          <w:sz w:val="24"/>
          <w:szCs w:val="24"/>
        </w:rPr>
        <w:br/>
        <w:t xml:space="preserve">     Počiatky zobrazovania Obetovania Izáka datujeme už do rímskych katakomb</w:t>
      </w:r>
      <w:r>
        <w:rPr>
          <w:rFonts w:ascii="Times New Roman" w:hAnsi="Times New Roman" w:cs="Times New Roman"/>
          <w:sz w:val="24"/>
          <w:szCs w:val="24"/>
        </w:rPr>
        <w:t xml:space="preserve"> Via Latina</w:t>
      </w:r>
      <w:r w:rsidR="0083673B">
        <w:rPr>
          <w:rFonts w:ascii="Times New Roman" w:hAnsi="Times New Roman" w:cs="Times New Roman"/>
          <w:sz w:val="24"/>
          <w:szCs w:val="24"/>
        </w:rPr>
        <w:t xml:space="preserve">. </w:t>
      </w:r>
      <w:r w:rsidR="00F302A8">
        <w:rPr>
          <w:rFonts w:ascii="Times New Roman" w:hAnsi="Times New Roman" w:cs="Times New Roman"/>
          <w:sz w:val="24"/>
          <w:szCs w:val="24"/>
        </w:rPr>
        <w:t>Obrazy na stenách katakomb majú funerárny charakter a preto sa črtá otázka, akú spojitosť pr</w:t>
      </w:r>
      <w:r>
        <w:rPr>
          <w:rFonts w:ascii="Times New Roman" w:hAnsi="Times New Roman" w:cs="Times New Roman"/>
          <w:sz w:val="24"/>
          <w:szCs w:val="24"/>
        </w:rPr>
        <w:t>edstavuje Obeta medzi Starým a N</w:t>
      </w:r>
      <w:r w:rsidR="00F302A8">
        <w:rPr>
          <w:rFonts w:ascii="Times New Roman" w:hAnsi="Times New Roman" w:cs="Times New Roman"/>
          <w:sz w:val="24"/>
          <w:szCs w:val="24"/>
        </w:rPr>
        <w:t>ovým zákonom.</w:t>
      </w:r>
      <w:r w:rsidR="00451DA1">
        <w:rPr>
          <w:rFonts w:ascii="Times New Roman" w:hAnsi="Times New Roman" w:cs="Times New Roman"/>
          <w:sz w:val="24"/>
          <w:szCs w:val="24"/>
        </w:rPr>
        <w:t xml:space="preserve"> Tak ako mal byť Izák obetovaný svojím otcom, tak bol Ježiš Kristus obetovaný Bohom pre ľudstvo.</w:t>
      </w:r>
      <w:r w:rsidR="00D37F83">
        <w:rPr>
          <w:rFonts w:ascii="Times New Roman" w:hAnsi="Times New Roman" w:cs="Times New Roman"/>
          <w:sz w:val="24"/>
          <w:szCs w:val="24"/>
        </w:rPr>
        <w:t xml:space="preserve"> Celá podstata výjavov v katakombách je snaha zhmotniť myšlienku, že smrťou to nekončí.</w:t>
      </w:r>
      <w:r w:rsidR="00F302A8">
        <w:rPr>
          <w:rFonts w:ascii="Times New Roman" w:hAnsi="Times New Roman" w:cs="Times New Roman"/>
          <w:sz w:val="24"/>
          <w:szCs w:val="24"/>
        </w:rPr>
        <w:br/>
        <w:t xml:space="preserve">     Ďalším príkladom spracovania témy sú mozaiky v multikultúrnom priestore Cappella Palatina v Palerme. V tomto prípade sa nestretávame len so samostatným výjavom konaného aktu obety, ale vnímame ho ako cyklus – vyobrazené sú jednotlivé príbehy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F302A8">
        <w:rPr>
          <w:rFonts w:ascii="Times New Roman" w:hAnsi="Times New Roman" w:cs="Times New Roman"/>
          <w:sz w:val="24"/>
          <w:szCs w:val="24"/>
        </w:rPr>
        <w:t xml:space="preserve"> Abrahámovho života.</w:t>
      </w:r>
      <w:r w:rsidR="00451DA1">
        <w:rPr>
          <w:rFonts w:ascii="Times New Roman" w:hAnsi="Times New Roman" w:cs="Times New Roman"/>
          <w:sz w:val="24"/>
          <w:szCs w:val="24"/>
        </w:rPr>
        <w:t xml:space="preserve"> </w:t>
      </w:r>
      <w:r w:rsidR="00576E86">
        <w:rPr>
          <w:rFonts w:ascii="Times New Roman" w:hAnsi="Times New Roman" w:cs="Times New Roman"/>
          <w:sz w:val="24"/>
          <w:szCs w:val="24"/>
        </w:rPr>
        <w:t>Pokiaľ by sme šli s linearitou príbehu Abrahám</w:t>
      </w:r>
      <w:r w:rsidR="00D37F83">
        <w:rPr>
          <w:rFonts w:ascii="Times New Roman" w:hAnsi="Times New Roman" w:cs="Times New Roman"/>
          <w:sz w:val="24"/>
          <w:szCs w:val="24"/>
        </w:rPr>
        <w:t>a, spomenuli by sme scény Abrahá</w:t>
      </w:r>
      <w:r w:rsidR="00576E86">
        <w:rPr>
          <w:rFonts w:ascii="Times New Roman" w:hAnsi="Times New Roman" w:cs="Times New Roman"/>
          <w:sz w:val="24"/>
          <w:szCs w:val="24"/>
        </w:rPr>
        <w:t xml:space="preserve">mova pohosinnosť a Návšteva troch anjelov. Avšak v bezprostrednej blízkosti výjavu Obetovania Izáka sa nachádzajú výjavy Rebeka s ťavami a Zničenie Sodomy. </w:t>
      </w:r>
      <w:r w:rsidR="003830FB">
        <w:rPr>
          <w:rFonts w:ascii="Times New Roman" w:hAnsi="Times New Roman" w:cs="Times New Roman"/>
          <w:sz w:val="24"/>
          <w:szCs w:val="24"/>
        </w:rPr>
        <w:t>Celá</w:t>
      </w:r>
      <w:r w:rsidR="00D37F83">
        <w:rPr>
          <w:rFonts w:ascii="Times New Roman" w:hAnsi="Times New Roman" w:cs="Times New Roman"/>
          <w:sz w:val="24"/>
          <w:szCs w:val="24"/>
        </w:rPr>
        <w:t xml:space="preserve"> naratívna starozákonná časť zač</w:t>
      </w:r>
      <w:r w:rsidR="003830FB">
        <w:rPr>
          <w:rFonts w:ascii="Times New Roman" w:hAnsi="Times New Roman" w:cs="Times New Roman"/>
          <w:sz w:val="24"/>
          <w:szCs w:val="24"/>
        </w:rPr>
        <w:t>ína v spodnom registri a </w:t>
      </w:r>
      <w:r w:rsidR="00D37F83">
        <w:rPr>
          <w:rFonts w:ascii="Times New Roman" w:hAnsi="Times New Roman" w:cs="Times New Roman"/>
          <w:sz w:val="24"/>
          <w:szCs w:val="24"/>
        </w:rPr>
        <w:t>prebieha</w:t>
      </w:r>
      <w:r w:rsidR="003830FB">
        <w:rPr>
          <w:rFonts w:ascii="Times New Roman" w:hAnsi="Times New Roman" w:cs="Times New Roman"/>
          <w:sz w:val="24"/>
          <w:szCs w:val="24"/>
        </w:rPr>
        <w:t xml:space="preserve"> z juhu na sever. Aj napriek upadajúcej popularite mozaík v dvanástom storočí sa na Sicílii vytvárajú mozaiky porovnateľné </w:t>
      </w:r>
      <w:r w:rsidR="00136C49">
        <w:rPr>
          <w:rFonts w:ascii="Times New Roman" w:hAnsi="Times New Roman" w:cs="Times New Roman"/>
          <w:sz w:val="24"/>
          <w:szCs w:val="24"/>
        </w:rPr>
        <w:t>s mozaikami z piateho storočia z kostola Santa Maria Maggiore v</w:t>
      </w:r>
      <w:r w:rsidR="0024691C">
        <w:rPr>
          <w:rFonts w:ascii="Times New Roman" w:hAnsi="Times New Roman" w:cs="Times New Roman"/>
          <w:sz w:val="24"/>
          <w:szCs w:val="24"/>
        </w:rPr>
        <w:t> </w:t>
      </w:r>
      <w:r w:rsidR="00136C49">
        <w:rPr>
          <w:rFonts w:ascii="Times New Roman" w:hAnsi="Times New Roman" w:cs="Times New Roman"/>
          <w:sz w:val="24"/>
          <w:szCs w:val="24"/>
        </w:rPr>
        <w:t>Ríme</w:t>
      </w:r>
      <w:r w:rsidR="0024691C">
        <w:rPr>
          <w:rFonts w:ascii="Times New Roman" w:hAnsi="Times New Roman" w:cs="Times New Roman"/>
          <w:sz w:val="24"/>
          <w:szCs w:val="24"/>
        </w:rPr>
        <w:t>, nemôžeme</w:t>
      </w:r>
      <w:bookmarkStart w:id="0" w:name="_GoBack"/>
      <w:bookmarkEnd w:id="0"/>
      <w:r w:rsidR="0024691C">
        <w:rPr>
          <w:rFonts w:ascii="Times New Roman" w:hAnsi="Times New Roman" w:cs="Times New Roman"/>
          <w:sz w:val="24"/>
          <w:szCs w:val="24"/>
        </w:rPr>
        <w:t xml:space="preserve"> však povedať, že je to jediný príklad</w:t>
      </w:r>
      <w:r w:rsidR="00136C49">
        <w:rPr>
          <w:rFonts w:ascii="Times New Roman" w:hAnsi="Times New Roman" w:cs="Times New Roman"/>
          <w:sz w:val="24"/>
          <w:szCs w:val="24"/>
        </w:rPr>
        <w:t xml:space="preserve">. </w:t>
      </w:r>
      <w:r w:rsidR="00F302A8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1E3364">
        <w:rPr>
          <w:rFonts w:ascii="Times New Roman" w:hAnsi="Times New Roman" w:cs="Times New Roman"/>
          <w:sz w:val="24"/>
          <w:szCs w:val="24"/>
        </w:rPr>
        <w:t>Prostredníctvom diela</w:t>
      </w:r>
      <w:r w:rsidR="00F302A8">
        <w:rPr>
          <w:rFonts w:ascii="Times New Roman" w:hAnsi="Times New Roman" w:cs="Times New Roman"/>
          <w:sz w:val="24"/>
          <w:szCs w:val="24"/>
        </w:rPr>
        <w:t xml:space="preserve"> Obetovanie Izáka od Michelangela Merisi da Caravaggia sa dostávame až k individualistickému poňat</w:t>
      </w:r>
      <w:r w:rsidR="00BC506A">
        <w:rPr>
          <w:rFonts w:ascii="Times New Roman" w:hAnsi="Times New Roman" w:cs="Times New Roman"/>
          <w:sz w:val="24"/>
          <w:szCs w:val="24"/>
        </w:rPr>
        <w:t>iu tejto témy. V tomto bode je téma známa natoľko, že je na prvý pohľad viditeľné, že Caravaggio j</w:t>
      </w:r>
      <w:r w:rsidR="001E3364">
        <w:rPr>
          <w:rFonts w:ascii="Times New Roman" w:hAnsi="Times New Roman" w:cs="Times New Roman"/>
          <w:sz w:val="24"/>
          <w:szCs w:val="24"/>
        </w:rPr>
        <w:t>u poňal inak ako jeho predchodcovia</w:t>
      </w:r>
      <w:r>
        <w:rPr>
          <w:rFonts w:ascii="Times New Roman" w:hAnsi="Times New Roman" w:cs="Times New Roman"/>
          <w:sz w:val="24"/>
          <w:szCs w:val="24"/>
        </w:rPr>
        <w:t>,</w:t>
      </w:r>
      <w:r w:rsidR="00BC506A">
        <w:rPr>
          <w:rFonts w:ascii="Times New Roman" w:hAnsi="Times New Roman" w:cs="Times New Roman"/>
          <w:sz w:val="24"/>
          <w:szCs w:val="24"/>
        </w:rPr>
        <w:t xml:space="preserve"> či súčastníci.</w:t>
      </w:r>
      <w:r w:rsidR="00451DA1">
        <w:rPr>
          <w:rFonts w:ascii="Times New Roman" w:hAnsi="Times New Roman" w:cs="Times New Roman"/>
          <w:sz w:val="24"/>
          <w:szCs w:val="24"/>
        </w:rPr>
        <w:t xml:space="preserve"> V Caravaggiovom prevedení môžeme vidieť, že bol témou pohltený, emocionálna a psychologická stránka diela je v jeho prípade veľmi výrazná.</w:t>
      </w:r>
      <w:r w:rsidR="007E02FE">
        <w:rPr>
          <w:rFonts w:ascii="Times New Roman" w:hAnsi="Times New Roman" w:cs="Times New Roman"/>
          <w:sz w:val="24"/>
          <w:szCs w:val="24"/>
        </w:rPr>
        <w:t xml:space="preserve"> Na pozorovateľa pôsobí drsným dojmom, zobrazuje scénu bez prikrášlenia.</w:t>
      </w:r>
      <w:r>
        <w:rPr>
          <w:rFonts w:ascii="Times New Roman" w:hAnsi="Times New Roman" w:cs="Times New Roman"/>
          <w:sz w:val="24"/>
          <w:szCs w:val="24"/>
        </w:rPr>
        <w:br/>
        <w:t xml:space="preserve">     Ide nám o </w:t>
      </w:r>
      <w:r w:rsidR="00A57A4E">
        <w:rPr>
          <w:rFonts w:ascii="Times New Roman" w:hAnsi="Times New Roman" w:cs="Times New Roman"/>
          <w:sz w:val="24"/>
          <w:szCs w:val="24"/>
        </w:rPr>
        <w:t xml:space="preserve">poukázanie </w:t>
      </w:r>
      <w:r>
        <w:rPr>
          <w:rFonts w:ascii="Times New Roman" w:hAnsi="Times New Roman" w:cs="Times New Roman"/>
          <w:sz w:val="24"/>
          <w:szCs w:val="24"/>
        </w:rPr>
        <w:t>na význam</w:t>
      </w:r>
      <w:r w:rsidR="00E52CE4">
        <w:rPr>
          <w:rFonts w:ascii="Times New Roman" w:hAnsi="Times New Roman" w:cs="Times New Roman"/>
          <w:sz w:val="24"/>
          <w:szCs w:val="24"/>
        </w:rPr>
        <w:t xml:space="preserve"> jedno</w:t>
      </w:r>
      <w:r>
        <w:rPr>
          <w:rFonts w:ascii="Times New Roman" w:hAnsi="Times New Roman" w:cs="Times New Roman"/>
          <w:sz w:val="24"/>
          <w:szCs w:val="24"/>
        </w:rPr>
        <w:t>tlivých diel pre</w:t>
      </w:r>
      <w:r w:rsidR="00A57A4E">
        <w:rPr>
          <w:rFonts w:ascii="Times New Roman" w:hAnsi="Times New Roman" w:cs="Times New Roman"/>
          <w:sz w:val="24"/>
          <w:szCs w:val="24"/>
        </w:rPr>
        <w:t xml:space="preserve"> dobu a mies</w:t>
      </w:r>
      <w:r>
        <w:rPr>
          <w:rFonts w:ascii="Times New Roman" w:hAnsi="Times New Roman" w:cs="Times New Roman"/>
          <w:sz w:val="24"/>
          <w:szCs w:val="24"/>
        </w:rPr>
        <w:t>t</w:t>
      </w:r>
      <w:r w:rsidR="00A57A4E">
        <w:rPr>
          <w:rFonts w:ascii="Times New Roman" w:hAnsi="Times New Roman" w:cs="Times New Roman"/>
          <w:sz w:val="24"/>
          <w:szCs w:val="24"/>
        </w:rPr>
        <w:t>o, pre ktoré boli určené.</w:t>
      </w:r>
      <w:r>
        <w:rPr>
          <w:rFonts w:ascii="Times New Roman" w:hAnsi="Times New Roman" w:cs="Times New Roman"/>
          <w:sz w:val="24"/>
          <w:szCs w:val="24"/>
        </w:rPr>
        <w:t xml:space="preserve"> V práci sa zameriavame na ikonografiu a rozdiely vo vnímaní konkrétnych diel a ich pôsobení na ľudí, či samotného tvorcu. </w:t>
      </w:r>
      <w:r w:rsidR="00F33695">
        <w:rPr>
          <w:rFonts w:ascii="Times New Roman" w:hAnsi="Times New Roman" w:cs="Times New Roman"/>
          <w:sz w:val="24"/>
          <w:szCs w:val="24"/>
        </w:rPr>
        <w:br/>
      </w:r>
    </w:p>
    <w:p w:rsidR="00F33695" w:rsidRDefault="00F33695" w:rsidP="0033329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3695" w:rsidRDefault="00F33695" w:rsidP="0033329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3695" w:rsidRDefault="00F33695" w:rsidP="0033329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3695" w:rsidRDefault="00F33695" w:rsidP="0033329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3695" w:rsidRDefault="00F33695" w:rsidP="0033329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3695" w:rsidRDefault="00F33695" w:rsidP="0033329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3695" w:rsidRDefault="00F33695" w:rsidP="0033329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3695" w:rsidRDefault="00F33695" w:rsidP="0033329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3695" w:rsidRDefault="00F33695" w:rsidP="0033329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3695" w:rsidRDefault="00F33695" w:rsidP="0033329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3695" w:rsidRDefault="00F33695" w:rsidP="0033329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3695" w:rsidRDefault="00F33695" w:rsidP="0033329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3695" w:rsidRDefault="00F33695" w:rsidP="00F3369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3695">
        <w:rPr>
          <w:rFonts w:ascii="Times New Roman" w:hAnsi="Times New Roman" w:cs="Times New Roman"/>
          <w:b/>
          <w:sz w:val="24"/>
          <w:szCs w:val="24"/>
          <w:u w:val="single"/>
        </w:rPr>
        <w:t>Bibliografia</w:t>
      </w:r>
    </w:p>
    <w:p w:rsidR="00451DA1" w:rsidRPr="0074130F" w:rsidRDefault="00451DA1" w:rsidP="00451DA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4130F">
        <w:rPr>
          <w:rFonts w:ascii="Times New Roman" w:hAnsi="Times New Roman" w:cs="Times New Roman"/>
          <w:i/>
          <w:sz w:val="24"/>
          <w:szCs w:val="24"/>
        </w:rPr>
        <w:t>Biblia</w:t>
      </w:r>
    </w:p>
    <w:p w:rsidR="00451DA1" w:rsidRPr="0074130F" w:rsidRDefault="00451DA1" w:rsidP="00451DA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130F">
        <w:rPr>
          <w:rFonts w:ascii="Times New Roman" w:hAnsi="Times New Roman" w:cs="Times New Roman"/>
          <w:sz w:val="24"/>
          <w:szCs w:val="24"/>
        </w:rPr>
        <w:t xml:space="preserve">Otto Demus, </w:t>
      </w:r>
      <w:r w:rsidRPr="0074130F">
        <w:rPr>
          <w:rFonts w:ascii="Times New Roman" w:hAnsi="Times New Roman" w:cs="Times New Roman"/>
          <w:i/>
          <w:sz w:val="24"/>
          <w:szCs w:val="24"/>
        </w:rPr>
        <w:t>The Mosaics of Norman Sicily</w:t>
      </w:r>
      <w:r w:rsidRPr="0074130F">
        <w:rPr>
          <w:rFonts w:ascii="Times New Roman" w:hAnsi="Times New Roman" w:cs="Times New Roman"/>
          <w:sz w:val="24"/>
          <w:szCs w:val="24"/>
        </w:rPr>
        <w:t>, London 1949</w:t>
      </w:r>
    </w:p>
    <w:p w:rsidR="00451DA1" w:rsidRPr="0074130F" w:rsidRDefault="00451DA1" w:rsidP="00451DA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130F">
        <w:rPr>
          <w:rFonts w:ascii="Times New Roman" w:hAnsi="Times New Roman" w:cs="Times New Roman"/>
          <w:sz w:val="24"/>
          <w:szCs w:val="24"/>
        </w:rPr>
        <w:t xml:space="preserve">Ugo Monneret de Villard, </w:t>
      </w:r>
      <w:r w:rsidRPr="0074130F">
        <w:rPr>
          <w:rFonts w:ascii="Times New Roman" w:hAnsi="Times New Roman" w:cs="Times New Roman"/>
          <w:i/>
          <w:sz w:val="24"/>
          <w:szCs w:val="24"/>
        </w:rPr>
        <w:t>Le pitture musulmane al soffitto della Cappella Palatina in Palermo</w:t>
      </w:r>
      <w:r w:rsidRPr="0074130F">
        <w:rPr>
          <w:rFonts w:ascii="Times New Roman" w:hAnsi="Times New Roman" w:cs="Times New Roman"/>
          <w:sz w:val="24"/>
          <w:szCs w:val="24"/>
        </w:rPr>
        <w:t>, Roma 1950</w:t>
      </w:r>
    </w:p>
    <w:p w:rsidR="00451DA1" w:rsidRPr="0074130F" w:rsidRDefault="00451DA1" w:rsidP="00451DA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130F">
        <w:rPr>
          <w:rFonts w:ascii="Times New Roman" w:hAnsi="Times New Roman" w:cs="Times New Roman"/>
          <w:sz w:val="24"/>
          <w:szCs w:val="24"/>
        </w:rPr>
        <w:t xml:space="preserve">Goodenough, Erwin R. </w:t>
      </w:r>
      <w:r w:rsidRPr="0074130F">
        <w:rPr>
          <w:rFonts w:ascii="Times New Roman" w:hAnsi="Times New Roman" w:cs="Times New Roman"/>
          <w:i/>
          <w:sz w:val="24"/>
          <w:szCs w:val="24"/>
        </w:rPr>
        <w:t>“</w:t>
      </w:r>
      <w:r w:rsidRPr="00D83591">
        <w:rPr>
          <w:rFonts w:ascii="Times New Roman" w:hAnsi="Times New Roman" w:cs="Times New Roman"/>
          <w:sz w:val="24"/>
          <w:szCs w:val="24"/>
        </w:rPr>
        <w:t>Catacomb Art</w:t>
      </w:r>
      <w:r w:rsidRPr="0074130F">
        <w:rPr>
          <w:rFonts w:ascii="Times New Roman" w:hAnsi="Times New Roman" w:cs="Times New Roman"/>
          <w:i/>
          <w:sz w:val="24"/>
          <w:szCs w:val="24"/>
        </w:rPr>
        <w:t>.” Journal of Biblical Literature</w:t>
      </w:r>
      <w:r w:rsidRPr="0074130F">
        <w:rPr>
          <w:rFonts w:ascii="Times New Roman" w:hAnsi="Times New Roman" w:cs="Times New Roman"/>
          <w:sz w:val="24"/>
          <w:szCs w:val="24"/>
        </w:rPr>
        <w:t>, vol. 81, no. 2, 1962, pp. 113–142</w:t>
      </w:r>
    </w:p>
    <w:p w:rsidR="00451DA1" w:rsidRPr="0074130F" w:rsidRDefault="00451DA1" w:rsidP="00451DA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130F">
        <w:rPr>
          <w:rFonts w:ascii="Times New Roman" w:hAnsi="Times New Roman" w:cs="Times New Roman"/>
          <w:sz w:val="24"/>
          <w:szCs w:val="24"/>
        </w:rPr>
        <w:t xml:space="preserve">Ernst Kitzinger, </w:t>
      </w:r>
      <w:r w:rsidRPr="0074130F">
        <w:rPr>
          <w:rFonts w:ascii="Times New Roman" w:hAnsi="Times New Roman" w:cs="Times New Roman"/>
          <w:i/>
          <w:sz w:val="24"/>
          <w:szCs w:val="24"/>
        </w:rPr>
        <w:t>Norman Sicily as a Source of Byzantine Influence on Western Art in the Twelfth Century</w:t>
      </w:r>
      <w:r w:rsidRPr="0074130F">
        <w:rPr>
          <w:rFonts w:ascii="Times New Roman" w:hAnsi="Times New Roman" w:cs="Times New Roman"/>
          <w:sz w:val="24"/>
          <w:szCs w:val="24"/>
        </w:rPr>
        <w:t>, Byzantine Art Lectures, 1966</w:t>
      </w:r>
    </w:p>
    <w:p w:rsidR="00451DA1" w:rsidRPr="0074130F" w:rsidRDefault="00451DA1" w:rsidP="00451DA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130F">
        <w:rPr>
          <w:rFonts w:ascii="Times New Roman" w:hAnsi="Times New Roman" w:cs="Times New Roman"/>
          <w:sz w:val="24"/>
          <w:szCs w:val="24"/>
        </w:rPr>
        <w:t xml:space="preserve">William Tronzo, </w:t>
      </w:r>
      <w:r w:rsidRPr="0074130F">
        <w:rPr>
          <w:rFonts w:ascii="Times New Roman" w:hAnsi="Times New Roman" w:cs="Times New Roman"/>
          <w:i/>
          <w:sz w:val="24"/>
          <w:szCs w:val="24"/>
        </w:rPr>
        <w:t>The Via Latina catacomb : imitation and ,discontinuity in fourth-century roman painting</w:t>
      </w:r>
      <w:r w:rsidRPr="0074130F">
        <w:rPr>
          <w:rFonts w:ascii="Times New Roman" w:hAnsi="Times New Roman" w:cs="Times New Roman"/>
          <w:sz w:val="24"/>
          <w:szCs w:val="24"/>
        </w:rPr>
        <w:t>, College Art Association 1986</w:t>
      </w:r>
    </w:p>
    <w:p w:rsidR="00451DA1" w:rsidRPr="0074130F" w:rsidRDefault="00451DA1" w:rsidP="00451DA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130F">
        <w:rPr>
          <w:rFonts w:ascii="Times New Roman" w:hAnsi="Times New Roman" w:cs="Times New Roman"/>
          <w:sz w:val="24"/>
          <w:szCs w:val="24"/>
        </w:rPr>
        <w:t xml:space="preserve">Mina Gregori, </w:t>
      </w:r>
      <w:r w:rsidRPr="0074130F">
        <w:rPr>
          <w:rFonts w:ascii="Times New Roman" w:hAnsi="Times New Roman" w:cs="Times New Roman"/>
          <w:i/>
          <w:sz w:val="24"/>
          <w:szCs w:val="24"/>
        </w:rPr>
        <w:t xml:space="preserve">Il </w:t>
      </w:r>
      <w:r w:rsidRPr="00D83591">
        <w:rPr>
          <w:rFonts w:ascii="Times New Roman" w:hAnsi="Times New Roman" w:cs="Times New Roman"/>
          <w:sz w:val="24"/>
          <w:szCs w:val="24"/>
        </w:rPr>
        <w:t>"Sacrificio di Isacco"</w:t>
      </w:r>
      <w:r w:rsidRPr="0074130F">
        <w:rPr>
          <w:rFonts w:ascii="Times New Roman" w:hAnsi="Times New Roman" w:cs="Times New Roman"/>
          <w:i/>
          <w:sz w:val="24"/>
          <w:szCs w:val="24"/>
        </w:rPr>
        <w:t>: un inedito e considerazioni su una fase savoldesca del Caravaggio</w:t>
      </w:r>
      <w:r w:rsidRPr="0074130F">
        <w:rPr>
          <w:rFonts w:ascii="Times New Roman" w:hAnsi="Times New Roman" w:cs="Times New Roman"/>
          <w:sz w:val="24"/>
          <w:szCs w:val="24"/>
        </w:rPr>
        <w:t>, Artibus et Historiae, Vol. 10, No. 20, 1989, s. 99-142</w:t>
      </w:r>
    </w:p>
    <w:p w:rsidR="00451DA1" w:rsidRPr="0074130F" w:rsidRDefault="00451DA1" w:rsidP="00451DA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130F">
        <w:rPr>
          <w:rFonts w:ascii="Times New Roman" w:hAnsi="Times New Roman" w:cs="Times New Roman"/>
          <w:sz w:val="24"/>
          <w:szCs w:val="24"/>
        </w:rPr>
        <w:t xml:space="preserve">Frédérick Tristan, </w:t>
      </w:r>
      <w:r w:rsidRPr="0074130F">
        <w:rPr>
          <w:rFonts w:ascii="Times New Roman" w:hAnsi="Times New Roman" w:cs="Times New Roman"/>
          <w:i/>
          <w:sz w:val="24"/>
          <w:szCs w:val="24"/>
        </w:rPr>
        <w:t>Les premières images chrétiennes : du symbole à l’icône : IIe-VIe siècle</w:t>
      </w:r>
      <w:r w:rsidRPr="0074130F">
        <w:rPr>
          <w:rFonts w:ascii="Times New Roman" w:hAnsi="Times New Roman" w:cs="Times New Roman"/>
          <w:sz w:val="24"/>
          <w:szCs w:val="24"/>
        </w:rPr>
        <w:t>, Paris, Fayard 1996</w:t>
      </w:r>
    </w:p>
    <w:p w:rsidR="00451DA1" w:rsidRPr="0074130F" w:rsidRDefault="00451DA1" w:rsidP="00451DA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130F">
        <w:rPr>
          <w:rFonts w:ascii="Times New Roman" w:hAnsi="Times New Roman" w:cs="Times New Roman"/>
          <w:sz w:val="24"/>
          <w:szCs w:val="24"/>
        </w:rPr>
        <w:t xml:space="preserve">William Tronzo, </w:t>
      </w:r>
      <w:r w:rsidRPr="0074130F">
        <w:rPr>
          <w:rFonts w:ascii="Times New Roman" w:hAnsi="Times New Roman" w:cs="Times New Roman"/>
          <w:i/>
          <w:sz w:val="24"/>
          <w:szCs w:val="24"/>
        </w:rPr>
        <w:t>The Cultures of his Kingdom: Roger II. and the Cappella Palatina in Palermo</w:t>
      </w:r>
      <w:r w:rsidRPr="0074130F">
        <w:rPr>
          <w:rFonts w:ascii="Times New Roman" w:hAnsi="Times New Roman" w:cs="Times New Roman"/>
          <w:sz w:val="24"/>
          <w:szCs w:val="24"/>
        </w:rPr>
        <w:t>, Princeton University Press, 1997</w:t>
      </w:r>
    </w:p>
    <w:p w:rsidR="00451DA1" w:rsidRPr="0074130F" w:rsidRDefault="00451DA1" w:rsidP="00451DA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130F">
        <w:rPr>
          <w:rFonts w:ascii="Times New Roman" w:hAnsi="Times New Roman" w:cs="Times New Roman"/>
          <w:sz w:val="24"/>
          <w:szCs w:val="24"/>
        </w:rPr>
        <w:t xml:space="preserve">Duncan Bull, </w:t>
      </w:r>
      <w:r w:rsidRPr="0074130F">
        <w:rPr>
          <w:rFonts w:ascii="Times New Roman" w:hAnsi="Times New Roman" w:cs="Times New Roman"/>
          <w:i/>
          <w:sz w:val="24"/>
          <w:szCs w:val="24"/>
        </w:rPr>
        <w:t>Rembrandt – Caravaggio</w:t>
      </w:r>
      <w:r w:rsidRPr="0074130F">
        <w:rPr>
          <w:rFonts w:ascii="Times New Roman" w:hAnsi="Times New Roman" w:cs="Times New Roman"/>
          <w:sz w:val="24"/>
          <w:szCs w:val="24"/>
        </w:rPr>
        <w:t>, Amsterdam: Rijksmuseum, 2006, s. 97-103</w:t>
      </w:r>
    </w:p>
    <w:p w:rsidR="00451DA1" w:rsidRPr="0074130F" w:rsidRDefault="00451DA1" w:rsidP="00451DA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130F">
        <w:rPr>
          <w:rFonts w:ascii="Times New Roman" w:hAnsi="Times New Roman" w:cs="Times New Roman"/>
          <w:sz w:val="24"/>
          <w:szCs w:val="24"/>
        </w:rPr>
        <w:t xml:space="preserve">Jeffrey Spier, </w:t>
      </w:r>
      <w:r w:rsidRPr="0074130F">
        <w:rPr>
          <w:rFonts w:ascii="Times New Roman" w:hAnsi="Times New Roman" w:cs="Times New Roman"/>
          <w:i/>
          <w:sz w:val="24"/>
          <w:szCs w:val="24"/>
        </w:rPr>
        <w:t>Picturing the Bible : the earliest Christian art</w:t>
      </w:r>
      <w:r w:rsidRPr="0074130F">
        <w:rPr>
          <w:rFonts w:ascii="Times New Roman" w:hAnsi="Times New Roman" w:cs="Times New Roman"/>
          <w:sz w:val="24"/>
          <w:szCs w:val="24"/>
        </w:rPr>
        <w:t>, Fort Worth 2007-2008</w:t>
      </w:r>
    </w:p>
    <w:p w:rsidR="00451DA1" w:rsidRPr="0074130F" w:rsidRDefault="00451DA1" w:rsidP="00451DA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130F">
        <w:rPr>
          <w:rFonts w:ascii="Times New Roman" w:hAnsi="Times New Roman" w:cs="Times New Roman"/>
          <w:sz w:val="24"/>
          <w:szCs w:val="24"/>
        </w:rPr>
        <w:t xml:space="preserve">James Hall, </w:t>
      </w:r>
      <w:r w:rsidRPr="0074130F">
        <w:rPr>
          <w:rFonts w:ascii="Times New Roman" w:hAnsi="Times New Roman" w:cs="Times New Roman"/>
          <w:i/>
          <w:sz w:val="24"/>
          <w:szCs w:val="24"/>
        </w:rPr>
        <w:t>Slovník námětů a symbolů ve výtvarném umění</w:t>
      </w:r>
      <w:r w:rsidRPr="0074130F">
        <w:rPr>
          <w:rFonts w:ascii="Times New Roman" w:hAnsi="Times New Roman" w:cs="Times New Roman"/>
          <w:sz w:val="24"/>
          <w:szCs w:val="24"/>
        </w:rPr>
        <w:t>, Praha: Paseka, 2008</w:t>
      </w:r>
    </w:p>
    <w:p w:rsidR="00451DA1" w:rsidRPr="0074130F" w:rsidRDefault="00451DA1" w:rsidP="00451DA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130F">
        <w:rPr>
          <w:rFonts w:ascii="Times New Roman" w:hAnsi="Times New Roman" w:cs="Times New Roman"/>
          <w:sz w:val="24"/>
          <w:szCs w:val="24"/>
        </w:rPr>
        <w:t xml:space="preserve">Ivan Foletti, Michal Kolář, Elisabetta Scirocco (eds.), </w:t>
      </w:r>
      <w:r w:rsidRPr="0074130F">
        <w:rPr>
          <w:rFonts w:ascii="Times New Roman" w:hAnsi="Times New Roman" w:cs="Times New Roman"/>
          <w:i/>
          <w:sz w:val="24"/>
          <w:szCs w:val="24"/>
        </w:rPr>
        <w:t>Zápisky z Cest II: Cefalù - Palermo - Monreale</w:t>
      </w:r>
      <w:r w:rsidRPr="0074130F">
        <w:rPr>
          <w:rFonts w:ascii="Times New Roman" w:hAnsi="Times New Roman" w:cs="Times New Roman"/>
          <w:sz w:val="24"/>
          <w:szCs w:val="24"/>
        </w:rPr>
        <w:t>, 2015, s. 27-47</w:t>
      </w:r>
    </w:p>
    <w:p w:rsidR="00DD58F1" w:rsidRPr="00DD58F1" w:rsidRDefault="00DD58F1" w:rsidP="00DD58F1">
      <w:pPr>
        <w:rPr>
          <w:rFonts w:ascii="Times New Roman" w:hAnsi="Times New Roman" w:cs="Times New Roman"/>
          <w:sz w:val="24"/>
          <w:szCs w:val="24"/>
        </w:rPr>
      </w:pPr>
    </w:p>
    <w:sectPr w:rsidR="00DD58F1" w:rsidRPr="00DD58F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0DA" w:rsidRDefault="00CF70DA" w:rsidP="00F33695">
      <w:pPr>
        <w:spacing w:after="0" w:line="240" w:lineRule="auto"/>
      </w:pPr>
      <w:r>
        <w:separator/>
      </w:r>
    </w:p>
  </w:endnote>
  <w:endnote w:type="continuationSeparator" w:id="0">
    <w:p w:rsidR="00CF70DA" w:rsidRDefault="00CF70DA" w:rsidP="00F33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0DA" w:rsidRDefault="00CF70DA" w:rsidP="00F33695">
      <w:pPr>
        <w:spacing w:after="0" w:line="240" w:lineRule="auto"/>
      </w:pPr>
      <w:r>
        <w:separator/>
      </w:r>
    </w:p>
  </w:footnote>
  <w:footnote w:type="continuationSeparator" w:id="0">
    <w:p w:rsidR="00CF70DA" w:rsidRDefault="00CF70DA" w:rsidP="00F33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695" w:rsidRPr="00DD58F1" w:rsidRDefault="00DD58F1" w:rsidP="00DD58F1">
    <w:pPr>
      <w:jc w:val="center"/>
      <w:rPr>
        <w:rFonts w:ascii="Times New Roman" w:hAnsi="Times New Roman" w:cs="Times New Roman"/>
        <w:i/>
        <w:lang w:val="cs-CZ"/>
      </w:rPr>
    </w:pPr>
    <w:r>
      <w:rPr>
        <w:rFonts w:ascii="Times New Roman" w:hAnsi="Times New Roman" w:cs="Times New Roman"/>
        <w:i/>
        <w:lang w:val="cs-CZ"/>
      </w:rPr>
      <w:t>Gajan</w:t>
    </w:r>
    <w:r w:rsidRPr="00DD58F1">
      <w:rPr>
        <w:rFonts w:ascii="Times New Roman" w:hAnsi="Times New Roman" w:cs="Times New Roman"/>
        <w:i/>
        <w:lang w:val="cs-CZ"/>
      </w:rPr>
      <w:t>è</w:t>
    </w:r>
    <w:r>
      <w:rPr>
        <w:rFonts w:ascii="Times New Roman" w:hAnsi="Times New Roman" w:cs="Times New Roman"/>
        <w:i/>
        <w:lang w:val="cs-CZ"/>
      </w:rPr>
      <w:t xml:space="preserve"> Achverdjan</w:t>
    </w:r>
    <w:r w:rsidRPr="00DD58F1">
      <w:rPr>
        <w:rFonts w:ascii="Times New Roman" w:hAnsi="Times New Roman" w:cs="Times New Roman"/>
        <w:i/>
        <w:lang w:val="cs-CZ"/>
      </w:rPr>
      <w:t xml:space="preserve"> – Tatiana Dižová – Nikola Schnitzerová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817FE0"/>
    <w:multiLevelType w:val="hybridMultilevel"/>
    <w:tmpl w:val="1820CF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29D"/>
    <w:rsid w:val="00052418"/>
    <w:rsid w:val="00136C49"/>
    <w:rsid w:val="001A5960"/>
    <w:rsid w:val="001E3364"/>
    <w:rsid w:val="0024691C"/>
    <w:rsid w:val="0033329D"/>
    <w:rsid w:val="003830FB"/>
    <w:rsid w:val="003A0C1D"/>
    <w:rsid w:val="003F1F62"/>
    <w:rsid w:val="00451DA1"/>
    <w:rsid w:val="005451C2"/>
    <w:rsid w:val="00576E86"/>
    <w:rsid w:val="006C1E46"/>
    <w:rsid w:val="007E02FE"/>
    <w:rsid w:val="0083673B"/>
    <w:rsid w:val="008E5784"/>
    <w:rsid w:val="009A65DB"/>
    <w:rsid w:val="00A57A4E"/>
    <w:rsid w:val="00B1579E"/>
    <w:rsid w:val="00BC506A"/>
    <w:rsid w:val="00C80C01"/>
    <w:rsid w:val="00CF70DA"/>
    <w:rsid w:val="00D37F83"/>
    <w:rsid w:val="00D709FC"/>
    <w:rsid w:val="00DD58F1"/>
    <w:rsid w:val="00E52CE4"/>
    <w:rsid w:val="00F302A8"/>
    <w:rsid w:val="00F33695"/>
    <w:rsid w:val="00F6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BB3CE-4C47-4F86-877A-A5E04383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3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695"/>
  </w:style>
  <w:style w:type="paragraph" w:styleId="Footer">
    <w:name w:val="footer"/>
    <w:basedOn w:val="Normal"/>
    <w:link w:val="FooterChar"/>
    <w:uiPriority w:val="99"/>
    <w:unhideWhenUsed/>
    <w:rsid w:val="00F33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695"/>
  </w:style>
  <w:style w:type="paragraph" w:styleId="ListParagraph">
    <w:name w:val="List Paragraph"/>
    <w:basedOn w:val="Normal"/>
    <w:uiPriority w:val="34"/>
    <w:qFormat/>
    <w:rsid w:val="00451DA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51DA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DA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DA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DA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DA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D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Schnitzerová</dc:creator>
  <cp:keywords/>
  <dc:description/>
  <cp:lastModifiedBy>Nikola Schnitzerová</cp:lastModifiedBy>
  <cp:revision>15</cp:revision>
  <dcterms:created xsi:type="dcterms:W3CDTF">2016-10-24T14:31:00Z</dcterms:created>
  <dcterms:modified xsi:type="dcterms:W3CDTF">2016-10-31T17:06:00Z</dcterms:modified>
</cp:coreProperties>
</file>