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1" w:rsidRPr="00735510" w:rsidRDefault="0027784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Sentencia TS – Divorcio de una mujer en estado de coma</w:t>
      </w:r>
    </w:p>
    <w:p w:rsidR="00E0634D" w:rsidRPr="00735510" w:rsidRDefault="00E0634D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</w:p>
    <w:p w:rsidR="00E0634D" w:rsidRPr="00735510" w:rsidRDefault="00E0634D" w:rsidP="00735510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Parte recurrente – parte recurrida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Visto el recurso de casación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Comparecer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Interviniente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tutores de alguien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auto de jucio divorcio contencioso</w:t>
      </w:r>
    </w:p>
    <w:p w:rsidR="00E0634D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 xml:space="preserve"> pronunciar sentencias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sala del Tribunal</w:t>
      </w:r>
    </w:p>
    <w:p w:rsidR="0087792C" w:rsidRPr="00735510" w:rsidRDefault="0087792C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interponer demanda de divorcio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el suplico de la demanda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declarar divorcio con efectos inherentes a dicho pronunciamiento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admitir a trámite la demanda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emplazar al demandado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imponer costas a la parte actora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declarar la improcedencia del divorcio solicitado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falta de legitimación activa de los tutores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sin perjucio de la demanda reconvencional</w:t>
      </w:r>
    </w:p>
    <w:p w:rsidR="00A97CBE" w:rsidRPr="00735510" w:rsidRDefault="00A97CBE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formular el divorcio sobre la disolución del régimen económico matrimonial</w:t>
      </w:r>
    </w:p>
    <w:p w:rsidR="00A97CBE" w:rsidRPr="00735510" w:rsidRDefault="00257321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alegó hechos y fundamentos de derechos que estimó de aplicación</w:t>
      </w:r>
    </w:p>
    <w:p w:rsidR="00257321" w:rsidRPr="00735510" w:rsidRDefault="00257321" w:rsidP="00735510">
      <w:pPr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declarar disuelta y extinguida la sociedad de gananciales y el régimen económico matrimonial</w:t>
      </w:r>
    </w:p>
    <w:p w:rsidR="00257321" w:rsidRPr="00735510" w:rsidRDefault="00257321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 xml:space="preserve">de los cónyuges </w:t>
      </w:r>
    </w:p>
    <w:p w:rsidR="00257321" w:rsidRPr="00735510" w:rsidRDefault="00257321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 xml:space="preserve">sin perjuicio de la liquidación </w:t>
      </w:r>
    </w:p>
    <w:p w:rsidR="00257321" w:rsidRPr="00735510" w:rsidRDefault="00257321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efectuar la liquidación por los cauces legalmente establecidos</w:t>
      </w:r>
    </w:p>
    <w:p w:rsidR="00D96FB1" w:rsidRPr="00735510" w:rsidRDefault="00D96FB1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presentar escrito interesando</w:t>
      </w:r>
    </w:p>
    <w:p w:rsidR="00D96FB1" w:rsidRPr="00735510" w:rsidRDefault="00097FB2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contestar la demanda</w:t>
      </w:r>
    </w:p>
    <w:p w:rsidR="00097FB2" w:rsidRPr="00735510" w:rsidRDefault="00097FB2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dar los oportunos traslados</w:t>
      </w:r>
      <w:r w:rsidR="00442484" w:rsidRPr="00735510">
        <w:rPr>
          <w:rFonts w:ascii="Garamond" w:hAnsi="Garamond"/>
          <w:sz w:val="28"/>
          <w:szCs w:val="28"/>
          <w:lang w:val="es-ES"/>
        </w:rPr>
        <w:t>, efectuar los trasladosconferidos al respecto</w:t>
      </w:r>
    </w:p>
    <w:p w:rsidR="00097FB2" w:rsidRPr="00735510" w:rsidRDefault="00097FB2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señalar día y hora para la celebración de la vista</w:t>
      </w:r>
    </w:p>
    <w:p w:rsidR="00097FB2" w:rsidRPr="00735510" w:rsidRDefault="00097FB2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afirmar y ratificar en las pretensiones</w:t>
      </w:r>
    </w:p>
    <w:p w:rsidR="00097FB2" w:rsidRPr="00735510" w:rsidRDefault="00097FB2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proponer el recibimiento del pleito a prueba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la parte dispositiva de la sentencia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desestimar la demanda de divorcio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abonar las costas causadas a su instancia y las comunes por mitad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interponer el recurso de apelación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revocar la sentencia</w:t>
      </w:r>
    </w:p>
    <w:p w:rsidR="0034054C" w:rsidRPr="00735510" w:rsidRDefault="0034054C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 xml:space="preserve">interponer el recurso </w:t>
      </w:r>
      <w:r w:rsidRPr="00BC0360">
        <w:rPr>
          <w:rFonts w:ascii="Garamond" w:hAnsi="Garamond"/>
          <w:sz w:val="28"/>
          <w:szCs w:val="28"/>
          <w:lang w:val="es-ES"/>
        </w:rPr>
        <w:t>a</w:t>
      </w:r>
      <w:r w:rsidR="00BC0360" w:rsidRPr="00BC0360">
        <w:rPr>
          <w:rFonts w:ascii="Garamond" w:hAnsi="Garamond"/>
          <w:sz w:val="28"/>
          <w:szCs w:val="28"/>
          <w:lang w:val="es-ES"/>
        </w:rPr>
        <w:t>r</w:t>
      </w:r>
      <w:r w:rsidRPr="00BC0360">
        <w:rPr>
          <w:rFonts w:ascii="Garamond" w:hAnsi="Garamond"/>
          <w:sz w:val="28"/>
          <w:szCs w:val="28"/>
          <w:lang w:val="es-ES"/>
        </w:rPr>
        <w:t>ticulándolo</w:t>
      </w:r>
      <w:r w:rsidRPr="00735510">
        <w:rPr>
          <w:rFonts w:ascii="Garamond" w:hAnsi="Garamond"/>
          <w:sz w:val="28"/>
          <w:szCs w:val="28"/>
          <w:lang w:val="es-ES"/>
        </w:rPr>
        <w:t xml:space="preserve"> en los siguientes mo</w:t>
      </w:r>
      <w:bookmarkStart w:id="0" w:name="_GoBack"/>
      <w:bookmarkEnd w:id="0"/>
      <w:r w:rsidRPr="00735510">
        <w:rPr>
          <w:rFonts w:ascii="Garamond" w:hAnsi="Garamond"/>
          <w:sz w:val="28"/>
          <w:szCs w:val="28"/>
          <w:lang w:val="es-ES"/>
        </w:rPr>
        <w:t>tivos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infracción delas normas sustantivas sobre el divorcio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representación de los tutores</w:t>
      </w:r>
    </w:p>
    <w:p w:rsidR="000D70B3" w:rsidRPr="00735510" w:rsidRDefault="000D70B3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jurisprudencia respecto del carácter</w:t>
      </w:r>
      <w:r w:rsidR="0034054C" w:rsidRPr="00735510">
        <w:rPr>
          <w:rFonts w:ascii="Garamond" w:hAnsi="Garamond"/>
          <w:sz w:val="28"/>
          <w:szCs w:val="28"/>
          <w:lang w:val="es-ES"/>
        </w:rPr>
        <w:t>peronalísomo de la acción del divorcio</w:t>
      </w:r>
    </w:p>
    <w:p w:rsidR="0034054C" w:rsidRPr="00735510" w:rsidRDefault="00442484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necesidad interés tutelable del incapaz – 477.2.3 y 3 LEC</w:t>
      </w:r>
    </w:p>
    <w:p w:rsidR="00442484" w:rsidRPr="00735510" w:rsidRDefault="00442484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acordar la remisón de los autos originales al Tribunal Supremo</w:t>
      </w:r>
    </w:p>
    <w:p w:rsidR="00442484" w:rsidRPr="00735510" w:rsidRDefault="00442484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formar el rollo</w:t>
      </w:r>
    </w:p>
    <w:p w:rsidR="00442484" w:rsidRPr="00735510" w:rsidRDefault="0093705E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lastRenderedPageBreak/>
        <w:t xml:space="preserve">admitir el recurso por auto del 30 de marzo de 2011 </w:t>
      </w:r>
    </w:p>
    <w:p w:rsidR="0093705E" w:rsidRPr="00735510" w:rsidRDefault="0093705E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evacuar los traslados conferidos</w:t>
      </w:r>
    </w:p>
    <w:p w:rsidR="0093705E" w:rsidRPr="00735510" w:rsidRDefault="0093705E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suspender el señalamiento</w:t>
      </w:r>
    </w:p>
    <w:p w:rsidR="0093705E" w:rsidRPr="00735510" w:rsidRDefault="0093705E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sufrir un grave accidente de circulación</w:t>
      </w:r>
    </w:p>
    <w:p w:rsidR="0093705E" w:rsidRPr="00735510" w:rsidRDefault="0093705E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quedarse tetrapléjico y en estado de coma vigil</w:t>
      </w:r>
    </w:p>
    <w:p w:rsidR="0093705E" w:rsidRPr="00735510" w:rsidRDefault="0093705E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iniciar un procedimiento de incapatación</w:t>
      </w:r>
    </w:p>
    <w:p w:rsidR="0093705E" w:rsidRPr="00735510" w:rsidRDefault="007A0060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encontrarse en situación legal de separación</w:t>
      </w:r>
    </w:p>
    <w:p w:rsidR="007A0060" w:rsidRPr="00735510" w:rsidRDefault="007A0060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 xml:space="preserve"> admitir el recurso de casación interpuersto por el marido</w:t>
      </w:r>
    </w:p>
    <w:p w:rsidR="007A0060" w:rsidRPr="00735510" w:rsidRDefault="007A0060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prestación del consentimiento para contraer el matrimonio</w:t>
      </w:r>
    </w:p>
    <w:p w:rsidR="007A0060" w:rsidRPr="00735510" w:rsidRDefault="007A0060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estar legitimado para ejercitar la acción del divorcio</w:t>
      </w:r>
    </w:p>
    <w:p w:rsidR="007A0060" w:rsidRPr="00735510" w:rsidRDefault="007A0060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obtener una resolución acorde a las pretnsiones de alg.</w:t>
      </w:r>
    </w:p>
    <w:p w:rsidR="007A0060" w:rsidRPr="00735510" w:rsidRDefault="001627FF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vulnerar los derechos  a la tutela judicial efectiva</w:t>
      </w:r>
    </w:p>
    <w:p w:rsidR="001627FF" w:rsidRPr="00735510" w:rsidRDefault="001627FF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base de la negativa de acceso a la justicia en nombre del incapacitado</w:t>
      </w:r>
    </w:p>
    <w:p w:rsidR="00A55404" w:rsidRPr="00735510" w:rsidRDefault="00A55404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no presentar interés casacional</w:t>
      </w:r>
    </w:p>
    <w:p w:rsidR="00A55404" w:rsidRPr="00735510" w:rsidRDefault="00A55404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interesar la impugnación  del recurso</w:t>
      </w:r>
    </w:p>
    <w:p w:rsidR="00A55404" w:rsidRPr="00735510" w:rsidRDefault="00A55404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cuestionar la motivación de la sentencia</w:t>
      </w:r>
    </w:p>
    <w:p w:rsidR="00A55404" w:rsidRPr="00735510" w:rsidRDefault="009A149C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  <w:r w:rsidRPr="00735510">
        <w:rPr>
          <w:rFonts w:ascii="Garamond" w:hAnsi="Garamond"/>
          <w:sz w:val="28"/>
          <w:szCs w:val="28"/>
          <w:lang w:val="es-ES"/>
        </w:rPr>
        <w:t>incluir las acciones personalísimas</w:t>
      </w:r>
    </w:p>
    <w:p w:rsidR="009A149C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necesidad de concurrencia del interés tutelable del incapaz</w:t>
      </w:r>
    </w:p>
    <w:p w:rsidR="00D84C82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  <w:lang w:val="es-ES"/>
        </w:rPr>
      </w:pPr>
    </w:p>
    <w:p w:rsidR="0093705E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negar legitimación para ejercer la acción de separación a la madre y tutora de una persona incapacitada</w:t>
      </w:r>
    </w:p>
    <w:p w:rsidR="00D84C82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0D70B3" w:rsidRPr="00735510" w:rsidRDefault="00D84C82" w:rsidP="00735510">
      <w:pPr>
        <w:tabs>
          <w:tab w:val="left" w:pos="7518"/>
        </w:tabs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el derecho a la tutela judicial efectiva de la persona incapaz</w:t>
      </w:r>
    </w:p>
    <w:p w:rsidR="00D84C82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la sentencia de referencia</w:t>
      </w:r>
    </w:p>
    <w:p w:rsidR="00D84C82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D84C82" w:rsidRPr="00735510" w:rsidRDefault="00D84C82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situación patrimonial en</w:t>
      </w:r>
      <w:r w:rsidR="002A5F39" w:rsidRPr="00735510">
        <w:rPr>
          <w:rFonts w:ascii="Garamond" w:hAnsi="Garamond" w:cs="Arial"/>
          <w:sz w:val="28"/>
          <w:szCs w:val="28"/>
          <w:lang w:val="es-ES"/>
        </w:rPr>
        <w:t xml:space="preserve">  </w:t>
      </w:r>
      <w:r w:rsidRPr="00735510">
        <w:rPr>
          <w:rFonts w:ascii="Garamond" w:hAnsi="Garamond" w:cs="Arial"/>
          <w:sz w:val="28"/>
          <w:szCs w:val="28"/>
          <w:lang w:val="es-ES"/>
        </w:rPr>
        <w:t>supuestos fácilmente reconducibles al incumplimiento de estos deberes</w:t>
      </w: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el ejercicio de la separación solo puede verificarse por medio  de su tutor, con lo que si a éste se le niega la legitimación para ello, dicho cierre absoluto es su ineludible consecuencia</w:t>
      </w: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cumplir las exigencias de razonabilidad y de proporcionalidad</w:t>
      </w: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el voto particular concurrente del propio ponente</w:t>
      </w: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superar la tradicional distinción entre derechos personales y derechos personalísimos</w:t>
      </w:r>
    </w:p>
    <w:p w:rsidR="002A5F3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BF2B09" w:rsidRPr="00735510" w:rsidRDefault="002A5F3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ser ejercitado por el titular y nunca por su representante lega</w:t>
      </w:r>
      <w:r w:rsidR="00BF2B09" w:rsidRPr="00735510">
        <w:rPr>
          <w:rFonts w:ascii="Garamond" w:hAnsi="Garamond" w:cs="Arial"/>
          <w:sz w:val="28"/>
          <w:szCs w:val="28"/>
          <w:lang w:val="es-ES"/>
        </w:rPr>
        <w:t>l</w:t>
      </w:r>
    </w:p>
    <w:p w:rsidR="00BF2B09" w:rsidRPr="00735510" w:rsidRDefault="00BF2B0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2A5F39" w:rsidRPr="00735510" w:rsidRDefault="00BF2B0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el divorcio comporta la disolución del matrimonio a diferencia de la separación</w:t>
      </w:r>
    </w:p>
    <w:p w:rsidR="00BF2B09" w:rsidRPr="00735510" w:rsidRDefault="00BF2B0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BF2B09" w:rsidRPr="00735510" w:rsidRDefault="00BF2B0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el derecho fundamental a la libertad de continuar o no casado</w:t>
      </w:r>
    </w:p>
    <w:p w:rsidR="00BF2B09" w:rsidRPr="00735510" w:rsidRDefault="00BF2B09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lastRenderedPageBreak/>
        <w:t>requerir alegación de causa</w:t>
      </w: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el derecho a la intimidad del cónyuge peticionario</w:t>
      </w: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entablar demanda en nombre de los sujetos a tutela</w:t>
      </w: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no distinguir  la naturaleza de la acción que se está ejerciendo en nombre de la persona incapacitada</w:t>
      </w:r>
    </w:p>
    <w:p w:rsidR="006B7635" w:rsidRPr="00735510" w:rsidRDefault="006B7635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6B7635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autorización del Consejo de familia</w:t>
      </w: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La Convención sobre los derechos de las personas con discapacidad</w:t>
      </w: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Los Estados Partes</w:t>
      </w: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vulnerar el derecho a la tutela judicial efectiva</w:t>
      </w:r>
    </w:p>
    <w:p w:rsidR="00077147" w:rsidRPr="00735510" w:rsidRDefault="00077147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077147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están legitimados para ejercitar la acción de divorcio en nombre de una persona incapacitada</w:t>
      </w: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deber de ingerencia en la esfera jurídica del incapaz</w:t>
      </w: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ejercer la tutela en beneficio del tutelado</w:t>
      </w: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estar bajo la salvaguarda de la autoridad judicial</w:t>
      </w: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33388A" w:rsidRPr="00735510" w:rsidRDefault="0033388A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c</w:t>
      </w:r>
      <w:r w:rsidR="00735510" w:rsidRPr="00735510">
        <w:rPr>
          <w:rFonts w:ascii="Garamond" w:hAnsi="Garamond" w:cs="Arial"/>
          <w:sz w:val="28"/>
          <w:szCs w:val="28"/>
          <w:lang w:val="es-ES"/>
        </w:rPr>
        <w:t>onstituir</w:t>
      </w:r>
      <w:r w:rsidRPr="00735510">
        <w:rPr>
          <w:rFonts w:ascii="Garamond" w:hAnsi="Garamond" w:cs="Arial"/>
          <w:sz w:val="28"/>
          <w:szCs w:val="28"/>
          <w:lang w:val="es-ES"/>
        </w:rPr>
        <w:t xml:space="preserve"> una falacia</w:t>
      </w:r>
    </w:p>
    <w:p w:rsidR="00735510" w:rsidRPr="00735510" w:rsidRDefault="00735510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735510" w:rsidRPr="00735510" w:rsidRDefault="00735510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  <w:r w:rsidRPr="00735510">
        <w:rPr>
          <w:rFonts w:ascii="Garamond" w:hAnsi="Garamond" w:cs="Arial"/>
          <w:sz w:val="28"/>
          <w:szCs w:val="28"/>
          <w:lang w:val="es-ES"/>
        </w:rPr>
        <w:t>la concurrencia de interés del incapacitado</w:t>
      </w:r>
    </w:p>
    <w:p w:rsidR="00735510" w:rsidRPr="00735510" w:rsidRDefault="00735510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p w:rsidR="00735510" w:rsidRPr="00735510" w:rsidRDefault="00735510" w:rsidP="0073551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8"/>
          <w:szCs w:val="28"/>
          <w:lang w:val="es-ES"/>
        </w:rPr>
      </w:pPr>
    </w:p>
    <w:sectPr w:rsidR="00735510" w:rsidRPr="00735510" w:rsidSect="00FE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784C"/>
    <w:rsid w:val="00033352"/>
    <w:rsid w:val="00077147"/>
    <w:rsid w:val="00097FB2"/>
    <w:rsid w:val="000D70B3"/>
    <w:rsid w:val="001627FF"/>
    <w:rsid w:val="00257321"/>
    <w:rsid w:val="0027784C"/>
    <w:rsid w:val="002A5F39"/>
    <w:rsid w:val="0033388A"/>
    <w:rsid w:val="0034054C"/>
    <w:rsid w:val="00442484"/>
    <w:rsid w:val="006B7635"/>
    <w:rsid w:val="00735510"/>
    <w:rsid w:val="007A0060"/>
    <w:rsid w:val="0087792C"/>
    <w:rsid w:val="008B6595"/>
    <w:rsid w:val="0093705E"/>
    <w:rsid w:val="009A149C"/>
    <w:rsid w:val="00A55404"/>
    <w:rsid w:val="00A97CBE"/>
    <w:rsid w:val="00BC0360"/>
    <w:rsid w:val="00BF2B09"/>
    <w:rsid w:val="00C15A76"/>
    <w:rsid w:val="00C743E0"/>
    <w:rsid w:val="00D84C82"/>
    <w:rsid w:val="00D96FB1"/>
    <w:rsid w:val="00E0634D"/>
    <w:rsid w:val="00E652DB"/>
    <w:rsid w:val="00FA7841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0CFC-0A10-4754-9274-B6FDD4E6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609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Polák Petr Mgr.</cp:lastModifiedBy>
  <cp:revision>16</cp:revision>
  <dcterms:created xsi:type="dcterms:W3CDTF">2011-11-11T14:48:00Z</dcterms:created>
  <dcterms:modified xsi:type="dcterms:W3CDTF">2015-12-02T15:19:00Z</dcterms:modified>
</cp:coreProperties>
</file>