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74" w:rsidRPr="00634A11" w:rsidRDefault="00A04574" w:rsidP="00634A11">
      <w:pPr>
        <w:pStyle w:val="Heading1"/>
        <w:spacing w:line="360" w:lineRule="auto"/>
        <w:jc w:val="center"/>
        <w:rPr>
          <w:rFonts w:ascii="Times New Roman" w:hAnsi="Times New Roman"/>
          <w:color w:val="000000"/>
        </w:rPr>
      </w:pPr>
      <w:r w:rsidRPr="00634A11">
        <w:rPr>
          <w:rFonts w:ascii="Times New Roman" w:hAnsi="Times New Roman"/>
          <w:color w:val="000000"/>
        </w:rPr>
        <w:t xml:space="preserve">Jules </w:t>
      </w:r>
      <w:r>
        <w:rPr>
          <w:rFonts w:ascii="Times New Roman" w:hAnsi="Times New Roman"/>
          <w:color w:val="000000"/>
        </w:rPr>
        <w:t>Mazarin (</w:t>
      </w:r>
      <w:r w:rsidRPr="008A3043">
        <w:rPr>
          <w:rFonts w:ascii="Times New Roman" w:hAnsi="Times New Roman"/>
          <w:color w:val="008000"/>
        </w:rPr>
        <w:t>1602-1661</w:t>
      </w:r>
      <w:r>
        <w:rPr>
          <w:rFonts w:ascii="Times New Roman" w:hAnsi="Times New Roman"/>
          <w:color w:val="000000"/>
        </w:rPr>
        <w:t>)</w:t>
      </w:r>
    </w:p>
    <w:p w:rsidR="00A04574" w:rsidRPr="00634A11" w:rsidRDefault="00A04574" w:rsidP="00634A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4A11">
        <w:rPr>
          <w:rFonts w:ascii="Times New Roman" w:hAnsi="Times New Roman"/>
          <w:b/>
          <w:color w:val="000000"/>
        </w:rPr>
        <w:tab/>
      </w:r>
      <w:r w:rsidRPr="005B6CD9">
        <w:rPr>
          <w:rFonts w:ascii="Times New Roman" w:hAnsi="Times New Roman"/>
          <w:color w:val="FF0000"/>
          <w:sz w:val="24"/>
          <w:szCs w:val="24"/>
        </w:rPr>
        <w:t>Jules Mazarin</w:t>
      </w:r>
      <w:r w:rsidRPr="00634A11">
        <w:rPr>
          <w:rFonts w:ascii="Times New Roman" w:hAnsi="Times New Roman"/>
          <w:color w:val="000000"/>
          <w:sz w:val="24"/>
          <w:szCs w:val="24"/>
        </w:rPr>
        <w:t>, geniální politik, diplomat a ministr Francie italského původu</w:t>
      </w:r>
      <w:r>
        <w:rPr>
          <w:rFonts w:ascii="Times New Roman" w:hAnsi="Times New Roman"/>
          <w:color w:val="000000"/>
          <w:sz w:val="24"/>
          <w:szCs w:val="24"/>
        </w:rPr>
        <w:t>. Kmotr, rádce a učitel Ludvíka XIV.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Na vrcholu kariéry by</w:t>
      </w:r>
      <w:r>
        <w:rPr>
          <w:rFonts w:ascii="Times New Roman" w:hAnsi="Times New Roman"/>
          <w:color w:val="000000"/>
          <w:sz w:val="24"/>
          <w:szCs w:val="24"/>
        </w:rPr>
        <w:t xml:space="preserve">l nejmocnějším mužem Francie. </w:t>
      </w:r>
    </w:p>
    <w:p w:rsidR="00A04574" w:rsidRPr="00634A11" w:rsidRDefault="00A04574" w:rsidP="00634A11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A11">
        <w:rPr>
          <w:rFonts w:ascii="Times New Roman" w:hAnsi="Times New Roman"/>
          <w:b/>
          <w:color w:val="000000"/>
          <w:sz w:val="28"/>
          <w:szCs w:val="28"/>
        </w:rPr>
        <w:t>Život a vláda</w:t>
      </w:r>
    </w:p>
    <w:p w:rsidR="00A04574" w:rsidRDefault="00A04574" w:rsidP="00634A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4A11">
        <w:rPr>
          <w:rFonts w:ascii="Times New Roman" w:hAnsi="Times New Roman"/>
          <w:color w:val="000000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Jules Mazarin se narodil roku </w:t>
      </w:r>
      <w:r w:rsidRPr="005B6CD9">
        <w:rPr>
          <w:rFonts w:ascii="Times New Roman" w:hAnsi="Times New Roman"/>
          <w:color w:val="008000"/>
          <w:sz w:val="24"/>
          <w:szCs w:val="24"/>
        </w:rPr>
        <w:t>1602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v Neapolském městě Pescina jako Giulio Raimondo Mazzarini. Jeho otec,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Pietro Mazarini, byl majordomen v paláci rodu Colonnů. Ti také zaplatili mladému Giuliovi jeho vzdělání nejprve na jezuitské koleji, násled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ně na univerzitě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Sapi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enza v Římě, kde začal se studiem práva, a nakonec na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španělské univerzitě </w:t>
      </w:r>
      <w:r w:rsidRPr="005B6CD9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>v Alcala de Henares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(35 km severovýchodně od Madridu). Krátce, v roce </w:t>
      </w:r>
      <w:r w:rsidRPr="005B6CD9">
        <w:rPr>
          <w:rFonts w:ascii="Times New Roman" w:hAnsi="Times New Roman"/>
          <w:color w:val="008000"/>
          <w:sz w:val="24"/>
          <w:szCs w:val="24"/>
          <w:shd w:val="clear" w:color="auto" w:fill="FFFFFF"/>
        </w:rPr>
        <w:t>1627,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také slouží v armádě jako kapitán, umístěný v italském Monferratu, na severu země.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 úspěšném zakončení studií a obdržení titulu doktora práv, vstupuje roku 1632 do papežských služeb. Stává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zástupcem papeže ve francouzském Avignonu.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Brzy si nadaného státníka povšimne kardinál Richeliue, který zařizuje, aby se, v roce 1634, stal Mazarin nunciem</w:t>
      </w:r>
      <w:r w:rsidRPr="00634A11">
        <w:rPr>
          <w:rStyle w:val="EndnoteReference"/>
          <w:rFonts w:ascii="Times New Roman" w:hAnsi="Times New Roman"/>
          <w:color w:val="000000"/>
          <w:sz w:val="24"/>
          <w:szCs w:val="24"/>
          <w:shd w:val="clear" w:color="auto" w:fill="FFFFFF"/>
        </w:rPr>
        <w:endnoteReference w:id="1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 Francii.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Richeliue si Mazarina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velice oblíbil a učinil ho svým sekret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ářem. Přestože Mazarin neměl kně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žské, natož pak nějaké vyšší, svěcení, získává roku 1641, pravděpodobně díky vlivu jeho zamě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stnavatele, titul k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ardinála a v roce 1642, jej opět, za přímluvu umírajícího Richeliueho, jmenuje Ludvík XIII. prvním ministrem Francie a hlavou královské rady.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Roku </w:t>
      </w:r>
      <w:r w:rsidRPr="005B6CD9">
        <w:rPr>
          <w:rFonts w:ascii="Times New Roman" w:hAnsi="Times New Roman"/>
          <w:color w:val="008000"/>
          <w:sz w:val="24"/>
          <w:szCs w:val="24"/>
          <w:shd w:val="clear" w:color="auto" w:fill="FFFFFF"/>
        </w:rPr>
        <w:t>1643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umírá Ludvík XIII. a sama královna-ma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tka </w:t>
      </w:r>
      <w:r w:rsidRPr="005B6CD9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Anna Rakouská,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žádá Mazarina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pomoc při regentské vládě za 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ezletilého Ludvíka XIV. Mazarinova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moc tím nezadržitelně roste, až se prakticky stává vládcem celé Francie on sám. Jeho absolutistick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á vláda a vysoké berně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armádu vedou, roku 1648, až v povstání měšťanstva a vysoké šlechty, nazývané Fronda</w:t>
      </w:r>
      <w:r w:rsidRPr="00634A11">
        <w:rPr>
          <w:rStyle w:val="EndnoteReference"/>
          <w:rFonts w:ascii="Times New Roman" w:hAnsi="Times New Roman"/>
          <w:color w:val="000000"/>
          <w:sz w:val="24"/>
          <w:szCs w:val="24"/>
          <w:shd w:val="clear" w:color="auto" w:fill="FFFFFF"/>
        </w:rPr>
        <w:endnoteReference w:id="2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5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Fronda, požaduje omezení Mazarinovy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moci a vytvoření nezávislé vrstvy úředníků.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Mazarinovi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však daří získat na svo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ji stranu některé vysoké feudály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opozice a Fronda je nucena ke kapitulaci. Již v roce 1650 je Fronda nahrazena Frondou princů v čele s Louisem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II. de Condé, která za podpory Španělska vyhání Mazarina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roku 1651 z Francie.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Mazarin se uchyluje do Kolí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nad Rýnem a odtud pokračuje v boji proti povstání. Na jeho radu získává Anna Rakouská na svou stranu vévodu z Bouillonu a Turenna, který se svým vojskem poráží Condého.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6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Vnitřní rozpory, nejednotný postup princů s parlamentem a porážka Condého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umožňují Mazarinovi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aby roku </w:t>
      </w:r>
      <w:r w:rsidRPr="008A3043">
        <w:rPr>
          <w:rFonts w:ascii="Times New Roman" w:hAnsi="Times New Roman"/>
          <w:color w:val="008000"/>
          <w:sz w:val="24"/>
          <w:szCs w:val="24"/>
          <w:shd w:val="clear" w:color="auto" w:fill="FFFFFF"/>
        </w:rPr>
        <w:t xml:space="preserve">1652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porazil povstání a o rok později se vrátil do Paříže. Vůdcové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povstání byli přinuceni kardinálovi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odpřísáhnout věrnost, čímž by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 povstání potlačeno a Mazarin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mohl v celé Francii obnovit svoji absolutistickou vládu.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7"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povstání nezabraňuje Mazarinovi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aby prosadil zájmy Francie na jednání o ukončení Třicetileté války, známého jako Vestfálský mír. Francou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zi získávají biskupství  Me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stské, Toulské, Verdunské a města Decapole v Alsasku. Tato území získává Francie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čistě zásluhou Mazarina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jeho politického umu.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8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A04574" w:rsidRDefault="00A04574" w:rsidP="00634A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července </w:t>
      </w:r>
      <w:r w:rsidRPr="008A3043">
        <w:rPr>
          <w:rFonts w:ascii="Times New Roman" w:hAnsi="Times New Roman"/>
          <w:color w:val="008000"/>
          <w:sz w:val="24"/>
          <w:szCs w:val="24"/>
          <w:shd w:val="clear" w:color="auto" w:fill="FFFFFF"/>
        </w:rPr>
        <w:t>1654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 Ludvík XIV. korunován a oficiálně se ujímá vlády. Ve skutečnosti celou politiku pořád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ovládá Mazarin, který Ludvíkovi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slouží jako rádce a má na něho značný vliv. Kromě úřadu prvního ministra a hlavy královské rady také dohlíží na domácnost královny a výchovu Ludvíkova bratra, Filipa Orleánského. Stává se guvernérem Brisachu a La Rochelle, správcem hrabství Marle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polesí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kláštera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Saint-Denis. Vlastní také obchody a nákladní lodě. Je jmenován kapitánem zámků </w:t>
      </w:r>
      <w:r w:rsidRPr="00634A1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Fontainebleau a Vincennes.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Přestože stále nemá ani kněžské svěcení, je  </w:t>
      </w:r>
      <w:hyperlink r:id="rId6" w:tooltip="Opat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opatem</w:t>
        </w:r>
      </w:hyperlink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v </w:t>
      </w:r>
      <w:hyperlink r:id="rId7" w:tooltip="Saint-Germain-l´Auxerrois (stránka neexistuje)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Saint-Germain-l´Auxerrois</w:t>
        </w:r>
      </w:hyperlink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v </w:t>
      </w:r>
      <w:hyperlink r:id="rId8" w:tooltip="Notre-Dame de Cercamp (stránka neexistuje)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Notre-Dame de Cercamp</w:t>
        </w:r>
      </w:hyperlink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v </w:t>
      </w:r>
      <w:hyperlink r:id="rId9" w:tooltip="Saint-Denis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Saint-Denis</w:t>
        </w:r>
      </w:hyperlink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0" w:tooltip="Cluny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Cluny</w:t>
        </w:r>
      </w:hyperlink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převorem v </w:t>
      </w:r>
      <w:hyperlink r:id="rId11" w:tooltip="Chantenoy (stránka neexistuje)" w:history="1">
        <w:r w:rsidRPr="00634A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Chantenoy</w:t>
        </w:r>
      </w:hyperlink>
      <w:r>
        <w:rPr>
          <w:rFonts w:ascii="Times New Roman" w:hAnsi="Times New Roman"/>
          <w:color w:val="000000"/>
          <w:sz w:val="24"/>
          <w:szCs w:val="24"/>
        </w:rPr>
        <w:t>. Spekuluje se, že m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ěl i ambice stát se papežem. V roce 1657 totiž umírá císař Ferdinand III. a Mazarin se snaží </w:t>
      </w:r>
      <w:r>
        <w:rPr>
          <w:rFonts w:ascii="Times New Roman" w:hAnsi="Times New Roman"/>
          <w:color w:val="000000"/>
          <w:sz w:val="24"/>
          <w:szCs w:val="24"/>
        </w:rPr>
        <w:t xml:space="preserve">prosadit </w:t>
      </w:r>
      <w:r w:rsidRPr="00634A11">
        <w:rPr>
          <w:rFonts w:ascii="Times New Roman" w:hAnsi="Times New Roman"/>
          <w:color w:val="000000"/>
          <w:sz w:val="24"/>
          <w:szCs w:val="24"/>
        </w:rPr>
        <w:t>na císařský trůn Ludvíka XIV. Kdyby se do Francie vrátilo císařství, mohl by Mazarin, jako kmotr císaře, usilovat o papežský stolec.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9"/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</w:p>
    <w:p w:rsidR="00A04574" w:rsidRPr="00634A11" w:rsidRDefault="00A04574" w:rsidP="00634A11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color w:val="000000"/>
          <w:sz w:val="24"/>
          <w:szCs w:val="24"/>
        </w:rPr>
        <w:tab/>
        <w:t xml:space="preserve"> Volba Lepolda I., v roce 1658 mu tyto plány překazila. </w:t>
      </w:r>
      <w:r>
        <w:rPr>
          <w:rFonts w:ascii="Times New Roman" w:hAnsi="Times New Roman"/>
          <w:color w:val="000000"/>
          <w:sz w:val="24"/>
          <w:szCs w:val="24"/>
        </w:rPr>
        <w:t xml:space="preserve">Mazarin 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tak pokračuje ve válce proti rodu Habsburků. V roce 1659, za pomoci Anglie, přinucuje habsburské Španělsko k mírovému jednání a ukončuje tak konflikt trvající od roku 1635. Takzvaný </w:t>
      </w:r>
      <w:r w:rsidRPr="008A3043">
        <w:rPr>
          <w:rFonts w:ascii="Times New Roman" w:hAnsi="Times New Roman"/>
          <w:color w:val="0000FF"/>
          <w:sz w:val="24"/>
          <w:szCs w:val="24"/>
        </w:rPr>
        <w:t>Pyrenejský mír,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nutil Španělsko k odstoupení části území ve prospěch Francie, konkrétně Montméd, části Lucemburska, Artois, Rousilloun </w:t>
      </w:r>
      <w:r w:rsidRPr="0063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Pr="00634A11">
        <w:rPr>
          <w:rFonts w:ascii="Times New Roman" w:hAnsi="Times New Roman"/>
          <w:color w:val="000000"/>
          <w:sz w:val="24"/>
          <w:szCs w:val="24"/>
        </w:rPr>
        <w:t>Perpigan, města ve Flandrech a část Katalánska. Španělsko také muselo uznat francouzské zisky z Vestfálské</w:t>
      </w:r>
      <w:r>
        <w:rPr>
          <w:rFonts w:ascii="Times New Roman" w:hAnsi="Times New Roman"/>
          <w:color w:val="000000"/>
          <w:sz w:val="24"/>
          <w:szCs w:val="24"/>
        </w:rPr>
        <w:t>ho míru. Anglie za pomoc proti Š</w:t>
      </w:r>
      <w:r w:rsidRPr="00634A11">
        <w:rPr>
          <w:rFonts w:ascii="Times New Roman" w:hAnsi="Times New Roman"/>
          <w:color w:val="000000"/>
          <w:sz w:val="24"/>
          <w:szCs w:val="24"/>
        </w:rPr>
        <w:t>panělsku získáv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město Dunkerk. Francie na oplátku ukončuje podporu Portugalska a vzdává se nároku na Barcelonské hrabství. Součástí mírových smluv je i domluvený sňatek </w:t>
      </w:r>
      <w:r w:rsidRPr="008A3043">
        <w:rPr>
          <w:rFonts w:ascii="Times New Roman" w:hAnsi="Times New Roman"/>
          <w:color w:val="FF0000"/>
          <w:sz w:val="24"/>
          <w:szCs w:val="24"/>
        </w:rPr>
        <w:t>Ludvíka XIV</w:t>
      </w:r>
      <w:r w:rsidRPr="00634A11">
        <w:rPr>
          <w:rFonts w:ascii="Times New Roman" w:hAnsi="Times New Roman"/>
          <w:color w:val="000000"/>
          <w:sz w:val="24"/>
          <w:szCs w:val="24"/>
        </w:rPr>
        <w:t>. s dcerou Filipa IV. Marii Terezou, která se vzdává nároku na trůn za finanční kompenzaci. Tyto peníze Francie nikdy nevyplatí, což vede později k takzvané Devoluční válce mezi lety 1667 až 1668.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0"/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Mazarin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je také, od roku 16</w:t>
      </w:r>
      <w:r>
        <w:rPr>
          <w:rFonts w:ascii="Times New Roman" w:hAnsi="Times New Roman"/>
          <w:color w:val="000000"/>
          <w:sz w:val="24"/>
          <w:szCs w:val="24"/>
        </w:rPr>
        <w:t>57 do roku 1658</w:t>
      </w:r>
      <w:r w:rsidRPr="00634A11">
        <w:rPr>
          <w:rFonts w:ascii="Times New Roman" w:hAnsi="Times New Roman"/>
          <w:color w:val="000000"/>
          <w:sz w:val="24"/>
          <w:szCs w:val="24"/>
        </w:rPr>
        <w:t>, arbitrem</w:t>
      </w:r>
      <w:r>
        <w:rPr>
          <w:rStyle w:val="EndnoteReference"/>
          <w:rFonts w:ascii="Times New Roman" w:hAnsi="Times New Roman"/>
          <w:color w:val="000000"/>
          <w:sz w:val="24"/>
          <w:szCs w:val="24"/>
        </w:rPr>
        <w:endnoteReference w:id="3"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Dánsko-Švédské války</w:t>
      </w:r>
      <w:r>
        <w:rPr>
          <w:rStyle w:val="EndnoteReference"/>
          <w:rFonts w:ascii="Times New Roman" w:hAnsi="Times New Roman"/>
          <w:color w:val="000000"/>
          <w:sz w:val="24"/>
          <w:szCs w:val="24"/>
        </w:rPr>
        <w:endnoteReference w:id="4"/>
      </w:r>
      <w:r w:rsidRPr="00634A11">
        <w:rPr>
          <w:rFonts w:ascii="Times New Roman" w:hAnsi="Times New Roman"/>
          <w:color w:val="000000"/>
          <w:sz w:val="24"/>
          <w:szCs w:val="24"/>
        </w:rPr>
        <w:t>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1"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Umírá roku </w:t>
      </w:r>
      <w:r w:rsidRPr="008A3043">
        <w:rPr>
          <w:rFonts w:ascii="Times New Roman" w:hAnsi="Times New Roman"/>
          <w:color w:val="008000"/>
          <w:sz w:val="24"/>
          <w:szCs w:val="24"/>
        </w:rPr>
        <w:t>1661.</w:t>
      </w:r>
      <w:r w:rsidRPr="00634A11">
        <w:rPr>
          <w:rFonts w:ascii="Times New Roman" w:hAnsi="Times New Roman"/>
          <w:color w:val="000000"/>
        </w:rPr>
        <w:tab/>
      </w:r>
      <w:r w:rsidRPr="00634A11">
        <w:rPr>
          <w:rFonts w:ascii="Times New Roman" w:hAnsi="Times New Roman"/>
          <w:color w:val="000000"/>
        </w:rPr>
        <w:tab/>
      </w:r>
      <w:r w:rsidRPr="00634A11">
        <w:rPr>
          <w:rFonts w:ascii="Times New Roman" w:hAnsi="Times New Roman"/>
          <w:color w:val="000000"/>
        </w:rPr>
        <w:tab/>
      </w:r>
      <w:r w:rsidRPr="00634A11">
        <w:rPr>
          <w:rFonts w:ascii="Times New Roman" w:hAnsi="Times New Roman"/>
          <w:color w:val="000000"/>
        </w:rPr>
        <w:tab/>
      </w:r>
    </w:p>
    <w:p w:rsidR="00A04574" w:rsidRPr="002B46D7" w:rsidRDefault="00A04574" w:rsidP="00E6517B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6D7">
        <w:rPr>
          <w:rFonts w:ascii="Times New Roman" w:hAnsi="Times New Roman"/>
          <w:b/>
          <w:color w:val="000000"/>
          <w:sz w:val="28"/>
          <w:szCs w:val="28"/>
        </w:rPr>
        <w:t>Osobní život</w:t>
      </w:r>
    </w:p>
    <w:p w:rsidR="00A04574" w:rsidRPr="00634A11" w:rsidRDefault="00A04574" w:rsidP="00E6517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>Mazarin prý, na rozdíl od Richeliueho, dává svoje bohats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634A11">
        <w:rPr>
          <w:rFonts w:ascii="Times New Roman" w:hAnsi="Times New Roman"/>
          <w:color w:val="000000"/>
          <w:sz w:val="24"/>
          <w:szCs w:val="24"/>
        </w:rPr>
        <w:t>ví a moc okázale najevo. Bohatě se obléká, milu</w:t>
      </w:r>
      <w:r>
        <w:rPr>
          <w:rFonts w:ascii="Times New Roman" w:hAnsi="Times New Roman"/>
          <w:color w:val="000000"/>
          <w:sz w:val="24"/>
          <w:szCs w:val="24"/>
        </w:rPr>
        <w:t>je divadlo a věnuje se budování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rozsáhlých sbírek knih, obrazů a nábytku. Svoji rozsáhlou osobní knihovnu dokonce zpřístupňuje veřejnosti.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2"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Po roce 1647 se málem stává příbuzným Ludvíka IV., který si chce </w:t>
      </w:r>
      <w:r>
        <w:rPr>
          <w:rFonts w:ascii="Times New Roman" w:hAnsi="Times New Roman"/>
          <w:color w:val="000000"/>
          <w:sz w:val="24"/>
          <w:szCs w:val="24"/>
        </w:rPr>
        <w:t>vzít jeho neteř Marii Manciniovou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. Pro odpor </w:t>
      </w:r>
      <w:r>
        <w:rPr>
          <w:rFonts w:ascii="Times New Roman" w:hAnsi="Times New Roman"/>
          <w:color w:val="000000"/>
          <w:sz w:val="24"/>
          <w:szCs w:val="24"/>
        </w:rPr>
        <w:t>Anny Rakouské, však sám Mazarin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krále od tohoto sňatku odrazuje.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3"/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>V roce 1660 ještě vede tajná jednání se Španělskem</w:t>
      </w:r>
      <w:r>
        <w:rPr>
          <w:rFonts w:ascii="Times New Roman" w:hAnsi="Times New Roman"/>
          <w:color w:val="000000"/>
          <w:sz w:val="24"/>
          <w:szCs w:val="24"/>
        </w:rPr>
        <w:t xml:space="preserve"> a snaží se opět získat titul papeže</w:t>
      </w:r>
      <w:r w:rsidRPr="00634A11">
        <w:rPr>
          <w:rFonts w:ascii="Times New Roman" w:hAnsi="Times New Roman"/>
          <w:color w:val="000000"/>
          <w:sz w:val="24"/>
          <w:szCs w:val="24"/>
        </w:rPr>
        <w:t>, avšak se zhoršujícím se zdravím od této snahy upouští</w:t>
      </w:r>
      <w:r>
        <w:rPr>
          <w:rFonts w:ascii="Times New Roman" w:hAnsi="Times New Roman"/>
          <w:color w:val="000000"/>
          <w:sz w:val="24"/>
          <w:szCs w:val="24"/>
        </w:rPr>
        <w:t xml:space="preserve"> a uchyluje se do ústraní</w:t>
      </w:r>
      <w:r w:rsidRPr="00634A11">
        <w:rPr>
          <w:rFonts w:ascii="Times New Roman" w:hAnsi="Times New Roman"/>
          <w:color w:val="000000"/>
          <w:sz w:val="24"/>
          <w:szCs w:val="24"/>
        </w:rPr>
        <w:t>. Ze strachu před konfiskací majetku, sám králi svůj majetek nabízí. Ten jeho nabídku velkoryse</w:t>
      </w:r>
      <w:r>
        <w:rPr>
          <w:rFonts w:ascii="Times New Roman" w:hAnsi="Times New Roman"/>
          <w:color w:val="000000"/>
          <w:sz w:val="24"/>
          <w:szCs w:val="24"/>
        </w:rPr>
        <w:t xml:space="preserve"> odmítá a Mazarin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tak může vše odkázat svým neteřím Olympii</w:t>
      </w:r>
      <w:r>
        <w:rPr>
          <w:rStyle w:val="EndnoteReference"/>
          <w:rFonts w:ascii="Times New Roman" w:hAnsi="Times New Roman"/>
          <w:color w:val="000000"/>
          <w:sz w:val="24"/>
          <w:szCs w:val="24"/>
        </w:rPr>
        <w:endnoteReference w:id="5"/>
      </w:r>
      <w:r w:rsidRPr="00634A11">
        <w:rPr>
          <w:rFonts w:ascii="Times New Roman" w:hAnsi="Times New Roman"/>
          <w:color w:val="000000"/>
          <w:sz w:val="24"/>
          <w:szCs w:val="24"/>
        </w:rPr>
        <w:t>, Lauře, Hortensii, Marii a Marii Anně Manciniovým a Lauře a Anně Martinozziovým, které také všechny výhodně provdal za příslušníky královského rodu nebo alespoň za významné šlechtice.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4"/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ab/>
        <w:t>Nikdy nedosáhl ani základního kněžského svěcení. Nikdy se neoženil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ani nezp</w:t>
      </w:r>
      <w:r w:rsidRPr="00634A11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odil žádného potomka. </w:t>
      </w:r>
      <w:r w:rsidRPr="00634A11">
        <w:rPr>
          <w:rFonts w:ascii="Times New Roman" w:hAnsi="Times New Roman"/>
          <w:color w:val="000000"/>
          <w:sz w:val="24"/>
          <w:szCs w:val="24"/>
        </w:rPr>
        <w:t>Před svou smrtí ještě</w:t>
      </w:r>
      <w:r>
        <w:rPr>
          <w:rFonts w:ascii="Times New Roman" w:hAnsi="Times New Roman"/>
          <w:color w:val="000000"/>
          <w:sz w:val="24"/>
          <w:szCs w:val="24"/>
        </w:rPr>
        <w:t xml:space="preserve"> stihnul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 dopomoci k moci, podobně jak</w:t>
      </w:r>
      <w:r>
        <w:rPr>
          <w:rFonts w:ascii="Times New Roman" w:hAnsi="Times New Roman"/>
          <w:color w:val="000000"/>
          <w:sz w:val="24"/>
          <w:szCs w:val="24"/>
        </w:rPr>
        <w:t>o kdysi Richeliue jemu samotnému</w:t>
      </w:r>
      <w:r w:rsidRPr="00634A11">
        <w:rPr>
          <w:rFonts w:ascii="Times New Roman" w:hAnsi="Times New Roman"/>
          <w:color w:val="000000"/>
          <w:sz w:val="24"/>
          <w:szCs w:val="24"/>
        </w:rPr>
        <w:t xml:space="preserve">, svému sekretáři </w:t>
      </w:r>
      <w:r w:rsidRPr="00634A1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Jeanu-Baptistu Colbertovi.</w:t>
      </w:r>
      <w:r w:rsidRPr="00634A11">
        <w:rPr>
          <w:rStyle w:val="FootnoteReferen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footnoteReference w:id="15"/>
      </w:r>
      <w:r w:rsidRPr="0063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34A11">
        <w:rPr>
          <w:rFonts w:ascii="Times New Roman" w:hAnsi="Times New Roman"/>
          <w:color w:val="000000"/>
          <w:sz w:val="24"/>
          <w:szCs w:val="24"/>
        </w:rPr>
        <w:t>9. března 1661 umírá na zámku Vincennes. Teprve po jeho smrti se Ludvík XIV. stává skutečným a absolutním vládcem Francie.</w:t>
      </w:r>
      <w:r w:rsidRPr="00634A11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6"/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A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Literární Prameny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color w:val="000000"/>
          <w:shd w:val="clear" w:color="auto" w:fill="FFFFFF"/>
        </w:rPr>
        <w:t>Cronin, Vincent: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Ludvík XIV. ,</w:t>
      </w:r>
      <w:r w:rsidRPr="00634A11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král Slunce, velký panovník z rodu Bourbonů</w:t>
      </w:r>
      <w:r w:rsidRPr="00634A11">
        <w:rPr>
          <w:rFonts w:ascii="Times New Roman" w:hAnsi="Times New Roman"/>
          <w:color w:val="000000"/>
          <w:shd w:val="clear" w:color="auto" w:fill="FFFFFF"/>
        </w:rPr>
        <w:t>, Praha 1999, 271 s.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color w:val="000000"/>
          <w:shd w:val="clear" w:color="auto" w:fill="FFFFFF"/>
        </w:rPr>
        <w:t>Drška,Václav, a kol.:   </w:t>
      </w:r>
      <w:r w:rsidRPr="00634A11">
        <w:rPr>
          <w:rFonts w:ascii="Times New Roman" w:hAnsi="Times New Roman"/>
          <w:i/>
          <w:iCs/>
          <w:color w:val="000000"/>
        </w:rPr>
        <w:t>Encyklopedie osobností Evropy: Od starověku po současnost</w:t>
      </w:r>
      <w:r w:rsidRPr="00634A11">
        <w:rPr>
          <w:rFonts w:ascii="Times New Roman" w:hAnsi="Times New Roman"/>
          <w:color w:val="000000"/>
          <w:shd w:val="clear" w:color="auto" w:fill="FFFFFF"/>
        </w:rPr>
        <w:t>, Praha 1993, s. 436-437.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A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Internetové zdroje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iCs/>
          <w:color w:val="000000"/>
          <w:sz w:val="23"/>
          <w:szCs w:val="23"/>
        </w:rPr>
        <w:t>Cojeco.cz-</w:t>
      </w:r>
      <w:r w:rsidRPr="00634A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Fronda </w:t>
      </w:r>
      <w:r w:rsidRPr="00634A11">
        <w:rPr>
          <w:rFonts w:ascii="Times New Roman" w:hAnsi="Times New Roman"/>
          <w:color w:val="000000"/>
          <w:shd w:val="clear" w:color="auto" w:fill="FFFFFF"/>
        </w:rPr>
        <w:t>[online]. Dostupné z: http://www.cojeco.cz/index.php?s_lang=2&amp;detail=1&amp;id_desc=28065 [cit. 2017-10-08].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iCs/>
          <w:color w:val="000000"/>
          <w:sz w:val="23"/>
          <w:szCs w:val="23"/>
        </w:rPr>
      </w:pPr>
      <w:r w:rsidRPr="00634A11">
        <w:rPr>
          <w:rFonts w:ascii="Times New Roman" w:hAnsi="Times New Roman"/>
          <w:iCs/>
          <w:color w:val="000000"/>
          <w:sz w:val="23"/>
          <w:szCs w:val="23"/>
        </w:rPr>
        <w:t>Cojeco.cz-</w:t>
      </w:r>
      <w:r w:rsidRPr="00634A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34A11">
        <w:rPr>
          <w:rFonts w:ascii="Times New Roman" w:hAnsi="Times New Roman"/>
          <w:iCs/>
          <w:color w:val="000000"/>
        </w:rPr>
        <w:t>-</w:t>
      </w:r>
      <w:r w:rsidRPr="00634A11">
        <w:rPr>
          <w:rFonts w:ascii="Times New Roman" w:hAnsi="Times New Roman"/>
          <w:color w:val="000000"/>
          <w:shd w:val="clear" w:color="auto" w:fill="FFFFFF"/>
        </w:rPr>
        <w:t xml:space="preserve"> Pyrenejský mír. [online]. Dostupné z: http://www.cojeco.cz/index.php?s_term=&amp;s_lang=&amp;detail=1&amp;id_desc=78742 [cit. 2017-15-08].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iCs/>
          <w:color w:val="000000"/>
        </w:rPr>
      </w:pPr>
      <w:r w:rsidRPr="00634A11">
        <w:rPr>
          <w:rFonts w:ascii="Times New Roman" w:hAnsi="Times New Roman"/>
          <w:iCs/>
          <w:color w:val="000000"/>
          <w:sz w:val="23"/>
          <w:szCs w:val="23"/>
        </w:rPr>
        <w:t xml:space="preserve">Cojeco.cz-Vestfálský mír </w:t>
      </w:r>
      <w:r w:rsidRPr="00634A11">
        <w:rPr>
          <w:rFonts w:ascii="Times New Roman" w:hAnsi="Times New Roman"/>
          <w:color w:val="000000"/>
          <w:shd w:val="clear" w:color="auto" w:fill="FFFFFF"/>
        </w:rPr>
        <w:t>[online]. Dostupné z: http://www.cojeco.cz/index.php?detail=1&amp;s_lang=2&amp;id_desc=393749</w:t>
      </w:r>
      <w:r w:rsidRPr="00634A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iCs/>
          <w:color w:val="000000"/>
        </w:rPr>
        <w:t>Wikipedia: the free encyclopedia-</w:t>
      </w:r>
      <w:r w:rsidRPr="00634A11">
        <w:rPr>
          <w:rFonts w:ascii="Times New Roman" w:hAnsi="Times New Roman"/>
          <w:color w:val="000000"/>
          <w:shd w:val="clear" w:color="auto" w:fill="FFFFFF"/>
        </w:rPr>
        <w:t xml:space="preserve"> Jules Mazarin [online]. Dostupné z: https://cs.wikipedia.org/wiki/Jules_Mazarin [cit. 2017-10-08].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iCs/>
          <w:color w:val="000000"/>
        </w:rPr>
        <w:t>Wikipedia: the free encyclopedia-</w:t>
      </w:r>
      <w:r w:rsidRPr="00634A11">
        <w:rPr>
          <w:rFonts w:ascii="Times New Roman" w:hAnsi="Times New Roman"/>
          <w:color w:val="000000"/>
          <w:shd w:val="clear" w:color="auto" w:fill="FFFFFF"/>
        </w:rPr>
        <w:t xml:space="preserve"> Pyrenejský mír. [online]. Dostupné z: https://cs.wikipedia.org/wiki/Pyrenejsk%C3%BD_m%C3%ADr  [cit. 2017-10-08].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634A11">
        <w:rPr>
          <w:rFonts w:ascii="Times New Roman" w:hAnsi="Times New Roman"/>
          <w:color w:val="000000"/>
          <w:shd w:val="clear" w:color="auto" w:fill="FFFFFF"/>
        </w:rPr>
        <w:t>Leporelo.info-Fronda [online]. Dostupné z: https://leporelo.info/fronda [cit. 2017-10-08].</w:t>
      </w:r>
    </w:p>
    <w:p w:rsidR="00A04574" w:rsidRPr="00634A11" w:rsidRDefault="00A04574" w:rsidP="00634A11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sectPr w:rsidR="00A04574" w:rsidRPr="00634A11" w:rsidSect="0050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74" w:rsidRDefault="00A04574" w:rsidP="00F23FBB">
      <w:pPr>
        <w:spacing w:after="0" w:line="240" w:lineRule="auto"/>
      </w:pPr>
      <w:r>
        <w:separator/>
      </w:r>
    </w:p>
  </w:endnote>
  <w:endnote w:type="continuationSeparator" w:id="0">
    <w:p w:rsidR="00A04574" w:rsidRDefault="00A04574" w:rsidP="00F23FBB">
      <w:pPr>
        <w:spacing w:after="0" w:line="240" w:lineRule="auto"/>
      </w:pPr>
      <w:r>
        <w:continuationSeparator/>
      </w:r>
    </w:p>
  </w:endnote>
  <w:endnote w:id="1">
    <w:p w:rsidR="00A04574" w:rsidRDefault="00A04574" w:rsidP="00755B72">
      <w:r w:rsidRPr="00FF3BAE">
        <w:rPr>
          <w:rStyle w:val="EndnoteReference"/>
          <w:color w:val="000000"/>
        </w:rPr>
        <w:endnoteRef/>
      </w:r>
      <w:r w:rsidRPr="00FF3BAE">
        <w:rPr>
          <w:color w:val="000000"/>
        </w:rPr>
        <w:t xml:space="preserve"> </w:t>
      </w:r>
      <w:r w:rsidRPr="00B2405F">
        <w:rPr>
          <w:rFonts w:cs="Calibri"/>
          <w:color w:val="000000"/>
          <w:sz w:val="20"/>
          <w:szCs w:val="20"/>
          <w:shd w:val="clear" w:color="auto" w:fill="FFFFFF"/>
        </w:rPr>
        <w:t>Z</w:t>
      </w:r>
      <w:r w:rsidRPr="00B2405F">
        <w:rPr>
          <w:rFonts w:cs="Calibri"/>
          <w:color w:val="000000"/>
          <w:sz w:val="20"/>
          <w:szCs w:val="20"/>
        </w:rPr>
        <w:t xml:space="preserve"> latinského</w:t>
      </w:r>
      <w:r w:rsidRPr="00B2405F">
        <w:rPr>
          <w:rFonts w:cs="Calibri"/>
          <w:i/>
          <w:color w:val="000000"/>
          <w:sz w:val="20"/>
          <w:szCs w:val="20"/>
        </w:rPr>
        <w:t xml:space="preserve"> </w:t>
      </w:r>
      <w:r w:rsidRPr="00B2405F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nuntius</w:t>
      </w:r>
      <w:r w:rsidRPr="00B2405F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 – „posel“, </w:t>
      </w:r>
      <w:r w:rsidRPr="00B2405F">
        <w:rPr>
          <w:rFonts w:cs="Calibri"/>
          <w:color w:val="000000"/>
          <w:sz w:val="20"/>
          <w:szCs w:val="20"/>
          <w:shd w:val="clear" w:color="auto" w:fill="FFFFFF"/>
        </w:rPr>
        <w:t>vyslanec papeže v jiné zemi</w:t>
      </w:r>
    </w:p>
  </w:endnote>
  <w:endnote w:id="2">
    <w:p w:rsidR="00A04574" w:rsidRDefault="00A04574">
      <w:pPr>
        <w:pStyle w:val="EndnoteText"/>
      </w:pPr>
      <w:r w:rsidRPr="00B2405F">
        <w:rPr>
          <w:rStyle w:val="EndnoteReference"/>
          <w:rFonts w:cs="Calibri"/>
          <w:color w:val="000000"/>
        </w:rPr>
        <w:endnoteRef/>
      </w:r>
      <w:r w:rsidRPr="00B2405F">
        <w:rPr>
          <w:rFonts w:cs="Calibri"/>
          <w:color w:val="000000"/>
        </w:rPr>
        <w:t xml:space="preserve"> </w:t>
      </w:r>
      <w:r w:rsidRPr="00B2405F">
        <w:rPr>
          <w:rFonts w:cs="Calibri"/>
          <w:color w:val="000000"/>
          <w:shd w:val="clear" w:color="auto" w:fill="FFFFFF"/>
        </w:rPr>
        <w:t>Slovo </w:t>
      </w:r>
      <w:r w:rsidRPr="00B2405F">
        <w:rPr>
          <w:rFonts w:cs="Calibri"/>
          <w:i/>
          <w:iCs/>
          <w:color w:val="000000"/>
          <w:shd w:val="clear" w:color="auto" w:fill="FFFFFF"/>
        </w:rPr>
        <w:t>frondeur</w:t>
      </w:r>
      <w:r w:rsidRPr="00B2405F">
        <w:rPr>
          <w:rFonts w:cs="Calibri"/>
          <w:color w:val="000000"/>
          <w:shd w:val="clear" w:color="auto" w:fill="FFFFFF"/>
        </w:rPr>
        <w:t xml:space="preserve"> (původně </w:t>
      </w:r>
      <w:r w:rsidRPr="00B2405F">
        <w:rPr>
          <w:rFonts w:cs="Calibri"/>
          <w:i/>
          <w:color w:val="000000"/>
          <w:shd w:val="clear" w:color="auto" w:fill="FFFFFF"/>
        </w:rPr>
        <w:t>frondista</w:t>
      </w:r>
      <w:r w:rsidRPr="00B2405F">
        <w:rPr>
          <w:rFonts w:cs="Calibri"/>
          <w:color w:val="000000"/>
          <w:shd w:val="clear" w:color="auto" w:fill="FFFFFF"/>
        </w:rPr>
        <w:t>) označovalo ve </w:t>
      </w:r>
      <w:r w:rsidRPr="00B2405F">
        <w:rPr>
          <w:rFonts w:cs="Calibri"/>
          <w:color w:val="000000"/>
        </w:rPr>
        <w:t>francou</w:t>
      </w:r>
      <w:r>
        <w:rPr>
          <w:rFonts w:cs="Calibri"/>
          <w:color w:val="000000"/>
        </w:rPr>
        <w:t>z</w:t>
      </w:r>
      <w:r w:rsidRPr="00B2405F">
        <w:rPr>
          <w:rFonts w:cs="Calibri"/>
          <w:color w:val="000000"/>
        </w:rPr>
        <w:t xml:space="preserve">štině člověka snažícího se </w:t>
      </w:r>
      <w:r w:rsidRPr="00B2405F">
        <w:rPr>
          <w:rFonts w:cs="Calibri"/>
          <w:color w:val="000000"/>
          <w:shd w:val="clear" w:color="auto" w:fill="FFFFFF"/>
        </w:rPr>
        <w:t>o omezení královské moci, později i nespokojence s jakoukoli </w:t>
      </w:r>
      <w:r w:rsidRPr="00B2405F">
        <w:rPr>
          <w:rFonts w:cs="Calibri"/>
          <w:color w:val="000000"/>
        </w:rPr>
        <w:t>služební podřízeností</w:t>
      </w:r>
      <w:r w:rsidRPr="00B2405F">
        <w:rPr>
          <w:rFonts w:cs="Calibri"/>
          <w:color w:val="000000"/>
          <w:shd w:val="clear" w:color="auto" w:fill="FFFFFF"/>
        </w:rPr>
        <w:t xml:space="preserve"> a kritika moci. Dnes je to označení obecně pro nespokojence.</w:t>
      </w:r>
    </w:p>
  </w:endnote>
  <w:endnote w:id="3">
    <w:p w:rsidR="00A04574" w:rsidRPr="00B2405F" w:rsidRDefault="00A04574">
      <w:pPr>
        <w:pStyle w:val="EndnoteText"/>
        <w:rPr>
          <w:rFonts w:cs="Calibri"/>
          <w:color w:val="000000"/>
        </w:rPr>
      </w:pPr>
    </w:p>
    <w:p w:rsidR="00A04574" w:rsidRDefault="00A04574">
      <w:pPr>
        <w:pStyle w:val="EndnoteText"/>
      </w:pPr>
      <w:r w:rsidRPr="00B2405F">
        <w:rPr>
          <w:rStyle w:val="EndnoteReference"/>
          <w:rFonts w:cs="Calibri"/>
          <w:color w:val="000000"/>
        </w:rPr>
        <w:endnoteRef/>
      </w:r>
      <w:r w:rsidRPr="00B2405F">
        <w:rPr>
          <w:rFonts w:cs="Calibri"/>
          <w:color w:val="000000"/>
        </w:rPr>
        <w:t xml:space="preserve"> Arbitr-rozhodce, nezúčastněná osoba či skupina lidí, vybíraná oběma </w:t>
      </w:r>
      <w:r>
        <w:rPr>
          <w:rFonts w:cs="Calibri"/>
          <w:color w:val="000000"/>
        </w:rPr>
        <w:t>stranami aby rozhodla ve sporu.</w:t>
      </w:r>
    </w:p>
  </w:endnote>
  <w:endnote w:id="4">
    <w:p w:rsidR="00A04574" w:rsidRPr="00B2405F" w:rsidRDefault="00A04574">
      <w:pPr>
        <w:pStyle w:val="EndnoteText"/>
        <w:rPr>
          <w:rFonts w:cs="Calibri"/>
          <w:color w:val="000000"/>
        </w:rPr>
      </w:pPr>
    </w:p>
    <w:p w:rsidR="00A04574" w:rsidRPr="00B2405F" w:rsidRDefault="00A04574">
      <w:pPr>
        <w:pStyle w:val="EndnoteText"/>
        <w:rPr>
          <w:rFonts w:cs="Calibri"/>
          <w:color w:val="000000"/>
        </w:rPr>
      </w:pPr>
      <w:r w:rsidRPr="00B2405F">
        <w:rPr>
          <w:rStyle w:val="EndnoteReference"/>
          <w:rFonts w:cs="Calibri"/>
          <w:color w:val="000000"/>
        </w:rPr>
        <w:endnoteRef/>
      </w:r>
      <w:r w:rsidRPr="00B2405F">
        <w:rPr>
          <w:rFonts w:cs="Calibri"/>
          <w:color w:val="000000"/>
        </w:rPr>
        <w:t xml:space="preserve"> Dánsko-Švédská válka (1657-1658) je jeden z mnoha konfliktů probíhajících mezi těmito zeměmi. </w:t>
      </w:r>
    </w:p>
    <w:p w:rsidR="00A04574" w:rsidRDefault="00A04574">
      <w:pPr>
        <w:pStyle w:val="EndnoteText"/>
      </w:pPr>
    </w:p>
  </w:endnote>
  <w:endnote w:id="5">
    <w:p w:rsidR="00A04574" w:rsidRDefault="00A04574" w:rsidP="00E6517B">
      <w:pPr>
        <w:pStyle w:val="EndnoteText"/>
      </w:pPr>
      <w:r w:rsidRPr="00B2405F">
        <w:rPr>
          <w:rStyle w:val="EndnoteReference"/>
          <w:rFonts w:cs="Calibri"/>
          <w:color w:val="000000"/>
        </w:rPr>
        <w:endnoteRef/>
      </w:r>
      <w:r w:rsidRPr="00B2405F">
        <w:rPr>
          <w:rFonts w:cs="Calibri"/>
          <w:color w:val="000000"/>
        </w:rPr>
        <w:t xml:space="preserve"> Jejím manželem byl Evžen Mořic Savojský otec slavného prince Savojského.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74" w:rsidRDefault="00A04574" w:rsidP="00F23FBB">
      <w:pPr>
        <w:spacing w:after="0" w:line="240" w:lineRule="auto"/>
      </w:pPr>
      <w:r>
        <w:separator/>
      </w:r>
    </w:p>
  </w:footnote>
  <w:footnote w:type="continuationSeparator" w:id="0">
    <w:p w:rsidR="00A04574" w:rsidRDefault="00A04574" w:rsidP="00F23FBB">
      <w:pPr>
        <w:spacing w:after="0" w:line="240" w:lineRule="auto"/>
      </w:pPr>
      <w:r>
        <w:continuationSeparator/>
      </w:r>
    </w:p>
  </w:footnote>
  <w:footnote w:id="1">
    <w:p w:rsidR="00A04574" w:rsidRDefault="00A04574" w:rsidP="00B61422">
      <w:r>
        <w:rPr>
          <w:rStyle w:val="FootnoteReference"/>
        </w:rPr>
        <w:footnoteRef/>
      </w:r>
      <w:r>
        <w:t xml:space="preserve"> </w:t>
      </w:r>
      <w:r w:rsidRPr="005713AB">
        <w:rPr>
          <w:color w:val="000000"/>
          <w:shd w:val="clear" w:color="auto" w:fill="FFFFFF"/>
        </w:rPr>
        <w:t>Drška,Václav, a kol.:   </w:t>
      </w:r>
      <w:r w:rsidRPr="005713AB">
        <w:rPr>
          <w:i/>
          <w:iCs/>
          <w:color w:val="000000"/>
        </w:rPr>
        <w:t>Encyklopedie osobností Evropy: Od starověku po současnost</w:t>
      </w:r>
      <w:r w:rsidRPr="005713AB">
        <w:rPr>
          <w:color w:val="000000"/>
          <w:shd w:val="clear" w:color="auto" w:fill="FFFFFF"/>
        </w:rPr>
        <w:t>, Praha 1993, s. 436-437.</w:t>
      </w:r>
    </w:p>
  </w:footnote>
  <w:footnote w:id="2">
    <w:p w:rsidR="00A04574" w:rsidRDefault="00A04574" w:rsidP="00B04459">
      <w:r>
        <w:rPr>
          <w:rStyle w:val="FootnoteReference"/>
        </w:rPr>
        <w:footnoteRef/>
      </w:r>
      <w:r>
        <w:rPr>
          <w:color w:val="000000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Drška:   </w:t>
      </w:r>
      <w:r w:rsidRPr="005713AB">
        <w:rPr>
          <w:i/>
          <w:iCs/>
          <w:color w:val="000000"/>
        </w:rPr>
        <w:t xml:space="preserve">Encyklopedie </w:t>
      </w:r>
      <w:r w:rsidRPr="005713AB">
        <w:rPr>
          <w:color w:val="000000"/>
          <w:shd w:val="clear" w:color="auto" w:fill="FFFFFF"/>
        </w:rPr>
        <w:t>, s. 436-437.</w:t>
      </w:r>
    </w:p>
  </w:footnote>
  <w:footnote w:id="3">
    <w:p w:rsidR="00A04574" w:rsidRDefault="00A04574" w:rsidP="001C24B9"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Tamtéž</w:t>
      </w:r>
    </w:p>
  </w:footnote>
  <w:footnote w:id="4">
    <w:p w:rsidR="00A04574" w:rsidRDefault="00A04574" w:rsidP="00B04459"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Drška</w:t>
      </w:r>
      <w:r w:rsidRPr="005713AB">
        <w:rPr>
          <w:color w:val="000000"/>
          <w:shd w:val="clear" w:color="auto" w:fill="FFFFFF"/>
        </w:rPr>
        <w:t>:   </w:t>
      </w:r>
      <w:r>
        <w:rPr>
          <w:i/>
          <w:iCs/>
          <w:color w:val="000000"/>
        </w:rPr>
        <w:t>Encyklopedie</w:t>
      </w:r>
      <w:r w:rsidRPr="005713AB">
        <w:rPr>
          <w:color w:val="000000"/>
          <w:shd w:val="clear" w:color="auto" w:fill="FFFFFF"/>
        </w:rPr>
        <w:t>, s. 436-437.</w:t>
      </w:r>
    </w:p>
  </w:footnote>
  <w:footnote w:id="5">
    <w:p w:rsidR="00A04574" w:rsidRDefault="00A04574" w:rsidP="00B04459"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Tamtéž</w:t>
      </w:r>
      <w:r w:rsidRPr="005713AB">
        <w:rPr>
          <w:color w:val="000000"/>
          <w:shd w:val="clear" w:color="auto" w:fill="FFFFFF"/>
        </w:rPr>
        <w:t>.</w:t>
      </w:r>
    </w:p>
  </w:footnote>
  <w:footnote w:id="6">
    <w:p w:rsidR="00A04574" w:rsidRDefault="00A04574" w:rsidP="000A41AA">
      <w:r>
        <w:rPr>
          <w:rStyle w:val="FootnoteReference"/>
        </w:rPr>
        <w:footnoteRef/>
      </w:r>
      <w:r>
        <w:t xml:space="preserve"> </w:t>
      </w:r>
      <w:r w:rsidRPr="006B04EC">
        <w:rPr>
          <w:rFonts w:cs="Arial"/>
          <w:color w:val="000000"/>
          <w:shd w:val="clear" w:color="auto" w:fill="FFFFFF"/>
        </w:rPr>
        <w:t xml:space="preserve">Leporelo.info-Fronda </w:t>
      </w:r>
      <w:r w:rsidRPr="006B04EC">
        <w:rPr>
          <w:color w:val="000000"/>
          <w:shd w:val="clear" w:color="auto" w:fill="FFFFFF"/>
        </w:rPr>
        <w:t>[online]. Dostupné z: https://leporelo.info/fronda [cit. 2017-10-08].</w:t>
      </w:r>
    </w:p>
  </w:footnote>
  <w:footnote w:id="7">
    <w:p w:rsidR="00A04574" w:rsidRDefault="00A04574" w:rsidP="001C24B9">
      <w:r>
        <w:rPr>
          <w:rStyle w:val="FootnoteReference"/>
        </w:rPr>
        <w:footnoteRef/>
      </w:r>
      <w:r>
        <w:t xml:space="preserve"> </w:t>
      </w:r>
      <w:r w:rsidRPr="005713AB">
        <w:rPr>
          <w:rFonts w:ascii="Open Sans" w:hAnsi="Open Sans"/>
          <w:iCs/>
          <w:color w:val="000000"/>
          <w:sz w:val="23"/>
          <w:szCs w:val="23"/>
        </w:rPr>
        <w:t>Cojeco.cz-</w:t>
      </w:r>
      <w:r w:rsidRPr="005713AB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Fronda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[online]. Dostupné z:</w:t>
      </w:r>
      <w:r>
        <w:rPr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 xml:space="preserve">http://www.cojeco.cz/index.php?s_lang=2&amp;detail=1&amp;id_desc=28065 </w:t>
      </w:r>
      <w:r w:rsidRPr="005713AB">
        <w:rPr>
          <w:color w:val="000000"/>
          <w:shd w:val="clear" w:color="auto" w:fill="FFFFFF"/>
        </w:rPr>
        <w:t>[cit. 2017-10-08].</w:t>
      </w:r>
    </w:p>
  </w:footnote>
  <w:footnote w:id="8">
    <w:p w:rsidR="00A04574" w:rsidRDefault="00A04574">
      <w:pPr>
        <w:pStyle w:val="FootnoteText"/>
        <w:rPr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5713AB">
        <w:rPr>
          <w:rFonts w:ascii="Open Sans" w:hAnsi="Open Sans"/>
          <w:iCs/>
          <w:color w:val="000000"/>
          <w:sz w:val="23"/>
          <w:szCs w:val="23"/>
        </w:rPr>
        <w:t>Cojeco.cz-</w:t>
      </w:r>
      <w:r>
        <w:rPr>
          <w:rFonts w:ascii="Open Sans" w:hAnsi="Open Sans"/>
          <w:iCs/>
          <w:color w:val="000000"/>
          <w:sz w:val="23"/>
          <w:szCs w:val="23"/>
        </w:rPr>
        <w:t xml:space="preserve">Vestfálský mír </w:t>
      </w:r>
      <w:r w:rsidRPr="005713AB">
        <w:rPr>
          <w:color w:val="000000"/>
          <w:sz w:val="22"/>
          <w:szCs w:val="22"/>
          <w:shd w:val="clear" w:color="auto" w:fill="FFFFFF"/>
        </w:rPr>
        <w:t>[online]. Dostupné z:</w:t>
      </w:r>
      <w:r>
        <w:rPr>
          <w:color w:val="000000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http://www.cojeco.cz/index.php?detail=1&amp;s_lang=2&amp;id_desc=393749</w:t>
      </w:r>
    </w:p>
    <w:p w:rsidR="00A04574" w:rsidRDefault="00A04574">
      <w:pPr>
        <w:pStyle w:val="FootnoteText"/>
      </w:pPr>
    </w:p>
  </w:footnote>
  <w:footnote w:id="9">
    <w:p w:rsidR="00A04574" w:rsidRDefault="00A04574" w:rsidP="00044444"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Drška</w:t>
      </w:r>
      <w:r w:rsidRPr="005713AB">
        <w:rPr>
          <w:color w:val="000000"/>
          <w:shd w:val="clear" w:color="auto" w:fill="FFFFFF"/>
        </w:rPr>
        <w:t>:   </w:t>
      </w:r>
      <w:r w:rsidRPr="005713AB">
        <w:rPr>
          <w:i/>
          <w:iCs/>
          <w:color w:val="000000"/>
        </w:rPr>
        <w:t>Encyklopedie</w:t>
      </w:r>
      <w:r w:rsidRPr="005713AB">
        <w:rPr>
          <w:color w:val="000000"/>
          <w:shd w:val="clear" w:color="auto" w:fill="FFFFFF"/>
        </w:rPr>
        <w:t>, s. 436-437.</w:t>
      </w:r>
    </w:p>
  </w:footnote>
  <w:footnote w:id="10">
    <w:p w:rsidR="00A04574" w:rsidRDefault="00A04574" w:rsidP="00F60B12">
      <w:r>
        <w:rPr>
          <w:rStyle w:val="FootnoteReference"/>
        </w:rPr>
        <w:footnoteRef/>
      </w:r>
      <w:r>
        <w:t xml:space="preserve"> </w:t>
      </w:r>
      <w:r w:rsidRPr="005713AB">
        <w:rPr>
          <w:rFonts w:ascii="Open Sans" w:hAnsi="Open Sans"/>
          <w:iCs/>
          <w:color w:val="000000"/>
          <w:sz w:val="23"/>
          <w:szCs w:val="23"/>
        </w:rPr>
        <w:t>Cojeco.cz-</w:t>
      </w:r>
      <w:r w:rsidRPr="005713AB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Pr="005713AB">
        <w:rPr>
          <w:iCs/>
          <w:color w:val="000000"/>
        </w:rPr>
        <w:t>-</w:t>
      </w:r>
      <w:r w:rsidRPr="005713AB">
        <w:rPr>
          <w:rFonts w:cs="Arial"/>
          <w:color w:val="000000"/>
          <w:shd w:val="clear" w:color="auto" w:fill="FFFFFF"/>
        </w:rPr>
        <w:t xml:space="preserve"> Pyrenejský mír.</w:t>
      </w:r>
      <w:r w:rsidRPr="005713AB">
        <w:rPr>
          <w:color w:val="000000"/>
          <w:shd w:val="clear" w:color="auto" w:fill="FFFFFF"/>
        </w:rPr>
        <w:t xml:space="preserve"> [online]. </w:t>
      </w:r>
      <w:r>
        <w:rPr>
          <w:color w:val="000000"/>
          <w:shd w:val="clear" w:color="auto" w:fill="FFFFFF"/>
        </w:rPr>
        <w:t xml:space="preserve">Dostupné z: </w:t>
      </w:r>
      <w:r w:rsidRPr="00B04459">
        <w:rPr>
          <w:color w:val="000000"/>
          <w:shd w:val="clear" w:color="auto" w:fill="FFFFFF"/>
        </w:rPr>
        <w:t xml:space="preserve">http://www.cojeco.cz/index.php?s_term=&amp;s_lang=&amp;detail=1&amp;id_desc=78742 </w:t>
      </w:r>
      <w:r w:rsidRPr="005713AB">
        <w:rPr>
          <w:color w:val="000000"/>
          <w:shd w:val="clear" w:color="auto" w:fill="FFFFFF"/>
        </w:rPr>
        <w:t>[cit. 2</w:t>
      </w:r>
      <w:r>
        <w:rPr>
          <w:color w:val="000000"/>
          <w:shd w:val="clear" w:color="auto" w:fill="FFFFFF"/>
        </w:rPr>
        <w:t>017-15-08].</w:t>
      </w:r>
    </w:p>
  </w:footnote>
  <w:footnote w:id="11">
    <w:p w:rsidR="00A04574" w:rsidRDefault="00A04574" w:rsidP="00DD1285">
      <w:r>
        <w:rPr>
          <w:rStyle w:val="FootnoteReference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Drška</w:t>
      </w:r>
      <w:r w:rsidRPr="005713AB">
        <w:rPr>
          <w:color w:val="000000"/>
          <w:shd w:val="clear" w:color="auto" w:fill="FFFFFF"/>
        </w:rPr>
        <w:t>:   </w:t>
      </w:r>
      <w:r w:rsidRPr="005713AB">
        <w:rPr>
          <w:i/>
          <w:iCs/>
          <w:color w:val="000000"/>
        </w:rPr>
        <w:t>Encyklopedie</w:t>
      </w:r>
      <w:r w:rsidRPr="005713AB">
        <w:rPr>
          <w:color w:val="000000"/>
          <w:shd w:val="clear" w:color="auto" w:fill="FFFFFF"/>
        </w:rPr>
        <w:t>, s. 436-437.</w:t>
      </w:r>
    </w:p>
  </w:footnote>
  <w:footnote w:id="12">
    <w:p w:rsidR="00A04574" w:rsidRDefault="00A04574" w:rsidP="00E6517B">
      <w:r>
        <w:rPr>
          <w:rStyle w:val="FootnoteReference"/>
        </w:rPr>
        <w:footnoteRef/>
      </w:r>
      <w:r>
        <w:t xml:space="preserve"> </w:t>
      </w:r>
      <w:r w:rsidRPr="005713AB">
        <w:rPr>
          <w:iCs/>
          <w:color w:val="000000"/>
        </w:rPr>
        <w:t>Wikipedia: the free encyclopedia-</w:t>
      </w:r>
      <w:r w:rsidRPr="005713AB">
        <w:rPr>
          <w:color w:val="000000"/>
          <w:shd w:val="clear" w:color="auto" w:fill="FFFFFF"/>
        </w:rPr>
        <w:t xml:space="preserve"> Jules Mazarin</w:t>
      </w:r>
      <w:r>
        <w:rPr>
          <w:color w:val="000000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[online]. Dostupné z: https://cs.wikipedia.org/wiki/Jules_Mazarin [cit. 2017-10-08].</w:t>
      </w:r>
    </w:p>
  </w:footnote>
  <w:footnote w:id="13">
    <w:p w:rsidR="00A04574" w:rsidRDefault="00A04574" w:rsidP="00E6517B">
      <w:pPr>
        <w:pStyle w:val="FootnoteText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5713AB">
        <w:rPr>
          <w:rFonts w:cs="Arial"/>
          <w:color w:val="000000"/>
          <w:sz w:val="22"/>
          <w:szCs w:val="22"/>
          <w:shd w:val="clear" w:color="auto" w:fill="FFFFFF"/>
        </w:rPr>
        <w:t>Cronin, Vincent: </w:t>
      </w:r>
      <w:r w:rsidRPr="005713AB">
        <w:rPr>
          <w:rFonts w:cs="Arial"/>
          <w:i/>
          <w:iCs/>
          <w:color w:val="000000"/>
          <w:sz w:val="22"/>
          <w:szCs w:val="22"/>
          <w:shd w:val="clear" w:color="auto" w:fill="FFFFFF"/>
        </w:rPr>
        <w:t>Ludvík XIV. : král Slunce, velký panovník z rodu Bourbonů</w:t>
      </w:r>
      <w:r w:rsidRPr="005713AB">
        <w:rPr>
          <w:rFonts w:cs="Arial"/>
          <w:color w:val="000000"/>
          <w:sz w:val="22"/>
          <w:szCs w:val="22"/>
          <w:shd w:val="clear" w:color="auto" w:fill="FFFFFF"/>
        </w:rPr>
        <w:t>, Praha 1999, 271 s.</w:t>
      </w:r>
    </w:p>
    <w:p w:rsidR="00A04574" w:rsidRDefault="00A04574" w:rsidP="00E6517B">
      <w:pPr>
        <w:pStyle w:val="FootnoteText"/>
      </w:pPr>
    </w:p>
  </w:footnote>
  <w:footnote w:id="14">
    <w:p w:rsidR="00A04574" w:rsidRDefault="00A04574" w:rsidP="00E6517B">
      <w:r>
        <w:rPr>
          <w:rStyle w:val="FootnoteReference"/>
        </w:rPr>
        <w:footnoteRef/>
      </w:r>
      <w:r>
        <w:t xml:space="preserve"> </w:t>
      </w:r>
      <w:r w:rsidRPr="005713AB">
        <w:rPr>
          <w:iCs/>
          <w:color w:val="000000"/>
        </w:rPr>
        <w:t>Wikipedia: the free encyclopedia-</w:t>
      </w:r>
      <w:r w:rsidRPr="005713AB">
        <w:rPr>
          <w:color w:val="000000"/>
          <w:shd w:val="clear" w:color="auto" w:fill="FFFFFF"/>
        </w:rPr>
        <w:t xml:space="preserve"> Jules Mazarin</w:t>
      </w:r>
      <w:r>
        <w:rPr>
          <w:color w:val="000000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[online]. Dostupné z: https://cs.wikipedia.org/wiki/Jules_Mazarin [cit. 2017-10-08].</w:t>
      </w:r>
    </w:p>
  </w:footnote>
  <w:footnote w:id="15">
    <w:p w:rsidR="00A04574" w:rsidRDefault="00A04574" w:rsidP="00E6517B">
      <w:r>
        <w:rPr>
          <w:rStyle w:val="FootnoteReference"/>
        </w:rPr>
        <w:footnoteRef/>
      </w:r>
      <w:r>
        <w:t xml:space="preserve"> </w:t>
      </w:r>
      <w:r w:rsidRPr="005713AB">
        <w:rPr>
          <w:iCs/>
          <w:color w:val="000000"/>
        </w:rPr>
        <w:t>Wikipedia: the free encyclopedia-</w:t>
      </w:r>
      <w:r w:rsidRPr="005713AB">
        <w:rPr>
          <w:color w:val="000000"/>
          <w:shd w:val="clear" w:color="auto" w:fill="FFFFFF"/>
        </w:rPr>
        <w:t xml:space="preserve"> Jules Mazarin</w:t>
      </w:r>
      <w:r>
        <w:rPr>
          <w:color w:val="000000"/>
          <w:shd w:val="clear" w:color="auto" w:fill="FFFFFF"/>
        </w:rPr>
        <w:t xml:space="preserve"> </w:t>
      </w:r>
      <w:r w:rsidRPr="005713AB">
        <w:rPr>
          <w:color w:val="000000"/>
          <w:shd w:val="clear" w:color="auto" w:fill="FFFFFF"/>
        </w:rPr>
        <w:t>[online]. Dostupné z: https://cs.wikipedia.org/wiki/Jules_Mazarin [cit. 2017-10-08].</w:t>
      </w:r>
    </w:p>
  </w:footnote>
  <w:footnote w:id="16">
    <w:p w:rsidR="00A04574" w:rsidRDefault="00A04574" w:rsidP="00E6517B">
      <w:r>
        <w:rPr>
          <w:rStyle w:val="FootnoteReference"/>
        </w:rPr>
        <w:footnoteRef/>
      </w:r>
      <w:r>
        <w:t xml:space="preserve"> </w:t>
      </w:r>
      <w:r w:rsidRPr="005713AB">
        <w:rPr>
          <w:rFonts w:cs="Arial"/>
          <w:color w:val="000000"/>
          <w:shd w:val="clear" w:color="auto" w:fill="FFFFFF"/>
        </w:rPr>
        <w:t>Cronin, Vincent: </w:t>
      </w:r>
      <w:r w:rsidRPr="005713AB">
        <w:rPr>
          <w:rFonts w:cs="Arial"/>
          <w:i/>
          <w:iCs/>
          <w:color w:val="000000"/>
          <w:shd w:val="clear" w:color="auto" w:fill="FFFFFF"/>
        </w:rPr>
        <w:t>Ludvík XIV. : král Slunce, velký panovník z rodu Bourbonů</w:t>
      </w:r>
      <w:r w:rsidRPr="005713AB">
        <w:rPr>
          <w:rFonts w:cs="Arial"/>
          <w:color w:val="000000"/>
          <w:shd w:val="clear" w:color="auto" w:fill="FFFFFF"/>
        </w:rPr>
        <w:t>, Praha 1999, 271 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9C3"/>
    <w:rsid w:val="000370F5"/>
    <w:rsid w:val="00044444"/>
    <w:rsid w:val="00045A5B"/>
    <w:rsid w:val="00063B22"/>
    <w:rsid w:val="00063DF8"/>
    <w:rsid w:val="00097CD4"/>
    <w:rsid w:val="000A41AA"/>
    <w:rsid w:val="000F34C1"/>
    <w:rsid w:val="00114626"/>
    <w:rsid w:val="00136D79"/>
    <w:rsid w:val="001552BE"/>
    <w:rsid w:val="001969A9"/>
    <w:rsid w:val="001A2550"/>
    <w:rsid w:val="001A5894"/>
    <w:rsid w:val="001A7FB6"/>
    <w:rsid w:val="001B149C"/>
    <w:rsid w:val="001C24B9"/>
    <w:rsid w:val="001D0CAD"/>
    <w:rsid w:val="001F6647"/>
    <w:rsid w:val="00221088"/>
    <w:rsid w:val="00260AA4"/>
    <w:rsid w:val="002A4C45"/>
    <w:rsid w:val="002B46D7"/>
    <w:rsid w:val="002D5645"/>
    <w:rsid w:val="00334950"/>
    <w:rsid w:val="00337D12"/>
    <w:rsid w:val="0036663A"/>
    <w:rsid w:val="0036794C"/>
    <w:rsid w:val="003B3240"/>
    <w:rsid w:val="003B59D3"/>
    <w:rsid w:val="004068A0"/>
    <w:rsid w:val="0042387D"/>
    <w:rsid w:val="004433ED"/>
    <w:rsid w:val="004612ED"/>
    <w:rsid w:val="00462980"/>
    <w:rsid w:val="004B08EF"/>
    <w:rsid w:val="004B4194"/>
    <w:rsid w:val="004C4394"/>
    <w:rsid w:val="004C7014"/>
    <w:rsid w:val="00506314"/>
    <w:rsid w:val="0052419F"/>
    <w:rsid w:val="005472B3"/>
    <w:rsid w:val="005713AB"/>
    <w:rsid w:val="005854C6"/>
    <w:rsid w:val="0059205A"/>
    <w:rsid w:val="005B6CD9"/>
    <w:rsid w:val="005D5E21"/>
    <w:rsid w:val="005E2DD8"/>
    <w:rsid w:val="00607AF7"/>
    <w:rsid w:val="00625545"/>
    <w:rsid w:val="006346F4"/>
    <w:rsid w:val="00634A11"/>
    <w:rsid w:val="0064084F"/>
    <w:rsid w:val="00694CDF"/>
    <w:rsid w:val="006B04EC"/>
    <w:rsid w:val="006B1392"/>
    <w:rsid w:val="006C2D35"/>
    <w:rsid w:val="006E458A"/>
    <w:rsid w:val="006F07B7"/>
    <w:rsid w:val="00711918"/>
    <w:rsid w:val="0071618E"/>
    <w:rsid w:val="00723814"/>
    <w:rsid w:val="00755B72"/>
    <w:rsid w:val="007768F1"/>
    <w:rsid w:val="007B745A"/>
    <w:rsid w:val="007C3632"/>
    <w:rsid w:val="007C6DFE"/>
    <w:rsid w:val="007D5341"/>
    <w:rsid w:val="007F2248"/>
    <w:rsid w:val="008126D8"/>
    <w:rsid w:val="00812CD1"/>
    <w:rsid w:val="00820D98"/>
    <w:rsid w:val="008368A9"/>
    <w:rsid w:val="00874048"/>
    <w:rsid w:val="00876492"/>
    <w:rsid w:val="00880AC9"/>
    <w:rsid w:val="00891D70"/>
    <w:rsid w:val="008A3043"/>
    <w:rsid w:val="00912677"/>
    <w:rsid w:val="00944CF5"/>
    <w:rsid w:val="00947E2A"/>
    <w:rsid w:val="00982B45"/>
    <w:rsid w:val="009A5203"/>
    <w:rsid w:val="009B425D"/>
    <w:rsid w:val="009B6652"/>
    <w:rsid w:val="009E695D"/>
    <w:rsid w:val="00A00D94"/>
    <w:rsid w:val="00A04574"/>
    <w:rsid w:val="00A10E1E"/>
    <w:rsid w:val="00A27FB0"/>
    <w:rsid w:val="00A82536"/>
    <w:rsid w:val="00AA3349"/>
    <w:rsid w:val="00AD485C"/>
    <w:rsid w:val="00B04459"/>
    <w:rsid w:val="00B2405F"/>
    <w:rsid w:val="00B50ECD"/>
    <w:rsid w:val="00B61422"/>
    <w:rsid w:val="00B71D48"/>
    <w:rsid w:val="00BD5401"/>
    <w:rsid w:val="00BF49C3"/>
    <w:rsid w:val="00C5040F"/>
    <w:rsid w:val="00C671FD"/>
    <w:rsid w:val="00C96160"/>
    <w:rsid w:val="00CB48C0"/>
    <w:rsid w:val="00CD1C82"/>
    <w:rsid w:val="00CE1008"/>
    <w:rsid w:val="00CF3287"/>
    <w:rsid w:val="00D04A54"/>
    <w:rsid w:val="00D47ED9"/>
    <w:rsid w:val="00D823E3"/>
    <w:rsid w:val="00D834FD"/>
    <w:rsid w:val="00DD1285"/>
    <w:rsid w:val="00DE412C"/>
    <w:rsid w:val="00DE77B9"/>
    <w:rsid w:val="00DF2905"/>
    <w:rsid w:val="00DF4891"/>
    <w:rsid w:val="00DF5075"/>
    <w:rsid w:val="00DF5B03"/>
    <w:rsid w:val="00DF652F"/>
    <w:rsid w:val="00E02668"/>
    <w:rsid w:val="00E04ED7"/>
    <w:rsid w:val="00E436FA"/>
    <w:rsid w:val="00E56047"/>
    <w:rsid w:val="00E6517B"/>
    <w:rsid w:val="00E73D4A"/>
    <w:rsid w:val="00ED3362"/>
    <w:rsid w:val="00EF1DCE"/>
    <w:rsid w:val="00EF73DC"/>
    <w:rsid w:val="00F1143A"/>
    <w:rsid w:val="00F20FEB"/>
    <w:rsid w:val="00F23FBB"/>
    <w:rsid w:val="00F33B8F"/>
    <w:rsid w:val="00F60B12"/>
    <w:rsid w:val="00F648D1"/>
    <w:rsid w:val="00FA2A35"/>
    <w:rsid w:val="00FC6275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1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49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9C3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063D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2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F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F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FB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026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266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26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126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67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267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Notre-Dame_de_Cercamp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/index.php?title=Saint-Germain-l%C2%B4Auxerrois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Opat" TargetMode="External"/><Relationship Id="rId11" Type="http://schemas.openxmlformats.org/officeDocument/2006/relationships/hyperlink" Target="https://cs.wikipedia.org/w/index.php?title=Chantenoy&amp;action=edit&amp;redlink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s.wikipedia.org/wiki/Clu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Saint-De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5</Pages>
  <Words>1124</Words>
  <Characters>6632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Konečný</dc:creator>
  <cp:keywords/>
  <dc:description/>
  <cp:lastModifiedBy>user</cp:lastModifiedBy>
  <cp:revision>142</cp:revision>
  <cp:lastPrinted>2017-10-19T04:37:00Z</cp:lastPrinted>
  <dcterms:created xsi:type="dcterms:W3CDTF">2017-10-08T10:06:00Z</dcterms:created>
  <dcterms:modified xsi:type="dcterms:W3CDTF">2017-10-19T18:36:00Z</dcterms:modified>
</cp:coreProperties>
</file>