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BA" w:rsidRPr="00B34ABA" w:rsidRDefault="00B34ABA" w:rsidP="00B34ABA">
      <w:pPr>
        <w:spacing w:before="100" w:beforeAutospacing="1" w:after="100" w:afterAutospacing="1" w:line="240" w:lineRule="auto"/>
        <w:jc w:val="right"/>
        <w:outlineLvl w:val="0"/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cs-CZ"/>
        </w:rPr>
      </w:pPr>
      <w:r w:rsidRPr="00B34ABA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cs-CZ"/>
        </w:rPr>
        <w:t>https://www.linguisticsociety.org/resource/language-and-thought</w:t>
      </w:r>
    </w:p>
    <w:p w:rsidR="00B34ABA" w:rsidRPr="00B34ABA" w:rsidRDefault="00B34ABA" w:rsidP="00B34AB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>Thought</w:t>
      </w:r>
      <w:proofErr w:type="spellEnd"/>
    </w:p>
    <w:p w:rsidR="00B34ABA" w:rsidRPr="00B34ABA" w:rsidRDefault="00B34ABA" w:rsidP="00B34AB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No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would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disagree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claim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interact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many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significant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great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disagreement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however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proposition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each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specific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own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influence 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action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speakers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hand,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anyone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learned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more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struck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by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many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from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another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But 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hand,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expect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human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beings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everywhere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similar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experiencing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world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Comparisons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different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lead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attention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universals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'—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similar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, and to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particulars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' 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each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individual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type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special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even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unique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social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scientists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interested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universals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formulated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theories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describe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explain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human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human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behavior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general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terms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as species-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specific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capacities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human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beings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However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idea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different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influence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thinking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different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present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many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cultures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given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rise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many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philosophical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treatises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Because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difficult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pin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down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effects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particular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on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particular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pattern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issue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remains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unresolved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comes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fashion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often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evokes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considerable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energy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efforts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support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refute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</w:pPr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 xml:space="preserve">Relativity and </w:t>
      </w:r>
      <w:proofErr w:type="spellStart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>Determinism</w:t>
      </w:r>
      <w:proofErr w:type="spellEnd"/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two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problems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confront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arena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: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relativity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determinism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Relativity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easy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demonstrate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order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attention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meanings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grammatically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marked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example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English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necessary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mark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verb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indicate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time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occurrence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event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: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It's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raining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;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rained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; and so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Turkish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however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impossible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simply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,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rained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last night'.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like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many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American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Indian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has more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past tense,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depending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one's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source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knowledge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event.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Turkish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two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past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tenses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report direct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experience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report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events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know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by inference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hearsay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Thus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rain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last night,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,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rained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last night'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using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past-tense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indicates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witness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rain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; but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wake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up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morning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see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street and garden,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obliged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use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past-tense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indicates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not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witness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rain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itself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Differences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sort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fascinated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anthropologists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centuries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reported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hundreds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facts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exotic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such 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verbs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marked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chosen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according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shape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object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handled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Navajo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)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relative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hearer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Korean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). Such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facts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grist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mill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relativity. And,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indeed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found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quite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readily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nonexotic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To cite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English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known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: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not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appropriate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Richard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Nixon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worked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Washington, but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perfectly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OK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Gerald Ford 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worked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Washington.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?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English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restricts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present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perfect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tense ('has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worked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')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assertions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people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alive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Exotic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!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lastRenderedPageBreak/>
        <w:t>Proponents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determinism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argue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such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differences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between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influence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people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think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perhaps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cultures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organized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Among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strongest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statements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position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by Benjamin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his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teacher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Edward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Sapir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first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half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century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hence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label,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Sapir-Whorf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Hypothesis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theory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relativity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determinism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proposed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: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nature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up,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organize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into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concepts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ascribe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significances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do,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largely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because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parties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agreement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organize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agreement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holds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throughout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our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speech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community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codified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patterns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our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'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1940;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Carroll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1956, pp. 213-4). And,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words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Sapir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: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Human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beings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...are very much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mercy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particular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has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become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medium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expression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their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society. ...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matter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"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world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"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large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extent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unconsciously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built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up 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habits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group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'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Sapir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1929;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Manlbaum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, 1958, p. 162).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>Investigating</w:t>
      </w:r>
      <w:proofErr w:type="spellEnd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>Thought</w:t>
      </w:r>
      <w:proofErr w:type="spellEnd"/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How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such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bold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claims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substantiated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beyond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examination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individual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themselves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?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takes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hypothesis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seriously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should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possible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show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Turks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more sensitive to evidence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Americans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but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Americans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more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aware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death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Turks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Clearly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hypothesis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cannot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supported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on so grand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level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Rather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experimental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psychologists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cognitive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anthropologists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sought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find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small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differences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controlled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tasks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between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speakers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various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Maybe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Navajos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somewhat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more sensitive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shapes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objects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example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results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mixed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In most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cases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human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action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overdetermined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by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array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causes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so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structure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not play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central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causal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role.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determinism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demonstrated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situations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principal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means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drawing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people's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attention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particular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aspect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experience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example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regularly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must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pick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second-person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address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)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marks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social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relationship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interlocutor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—such as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Spanish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tu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friends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family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socially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subordinate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) vs.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usted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socially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status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close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connection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)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French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tu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versus </w:t>
      </w:r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vous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must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categorize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every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person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talk to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terms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relevant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social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dimensions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(As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experiment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determinism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think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categorizations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social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relationships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would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made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Spanish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became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common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United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States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.)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Going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beyond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experiments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some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most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convincing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research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demonstrating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some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degree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determinism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conducted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under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direction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Stephen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C.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Levinson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hyperlink r:id="rId4" w:tgtFrame="_blank" w:history="1">
        <w:r w:rsidRPr="00B34ABA">
          <w:rPr>
            <w:rFonts w:asciiTheme="majorHAnsi" w:eastAsia="Times New Roman" w:hAnsiTheme="majorHAnsi" w:cstheme="majorHAnsi"/>
            <w:sz w:val="24"/>
            <w:szCs w:val="24"/>
            <w:lang w:eastAsia="cs-CZ"/>
          </w:rPr>
          <w:t xml:space="preserve">Max Planck Institute </w:t>
        </w:r>
        <w:proofErr w:type="spellStart"/>
        <w:r w:rsidRPr="00B34ABA">
          <w:rPr>
            <w:rFonts w:asciiTheme="majorHAnsi" w:eastAsia="Times New Roman" w:hAnsiTheme="majorHAnsi" w:cstheme="majorHAnsi"/>
            <w:sz w:val="24"/>
            <w:szCs w:val="24"/>
            <w:lang w:eastAsia="cs-CZ"/>
          </w:rPr>
          <w:t>for</w:t>
        </w:r>
        <w:proofErr w:type="spellEnd"/>
        <w:r w:rsidRPr="00B34ABA">
          <w:rPr>
            <w:rFonts w:asciiTheme="majorHAnsi" w:eastAsia="Times New Roman" w:hAnsiTheme="majorHAnsi" w:cstheme="majorHAnsi"/>
            <w:sz w:val="24"/>
            <w:szCs w:val="24"/>
            <w:lang w:eastAsia="cs-CZ"/>
          </w:rPr>
          <w:t xml:space="preserve"> </w:t>
        </w:r>
        <w:proofErr w:type="spellStart"/>
        <w:r w:rsidRPr="00B34ABA">
          <w:rPr>
            <w:rFonts w:asciiTheme="majorHAnsi" w:eastAsia="Times New Roman" w:hAnsiTheme="majorHAnsi" w:cstheme="majorHAnsi"/>
            <w:sz w:val="24"/>
            <w:szCs w:val="24"/>
            <w:lang w:eastAsia="cs-CZ"/>
          </w:rPr>
          <w:t>Psycholinguistic</w:t>
        </w:r>
      </w:hyperlink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Nijmegen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Netherlands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Levinson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his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collaborators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distinguish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between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describe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spatial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relations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terms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body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like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English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right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/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left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', 'front/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back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')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those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orient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fixed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points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environment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like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north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/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south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/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east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/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some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aboriginal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Australian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). In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second type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would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refer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example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, to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north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shoulder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'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'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bottle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end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table';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narrating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past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event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would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remember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how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actions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related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compass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points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Thus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order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type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always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know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respect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compass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points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whether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you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lastRenderedPageBreak/>
        <w:t>speaking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not.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Levinson's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group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shown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extensive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cross-linguistic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cross-cultural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studies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case.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Much more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research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needs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done, but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not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likely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Sapir-Whorf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hypothesis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supported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strong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quoted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above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one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factor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influences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cognition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behavior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another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Sapir-Whorf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hypothesis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were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really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true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second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learning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translation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would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far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harder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than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are.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However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because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pervasive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—and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because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must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always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make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cognitive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decisions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while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speaking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—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weaker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versions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hypothesis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continue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to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attract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scientific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attention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 (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For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lively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debate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on many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these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issues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with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much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new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evidence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from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several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fields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read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Gumperz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Levinson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19</w:t>
      </w:r>
      <w:bookmarkStart w:id="0" w:name="_GoBack"/>
      <w:bookmarkEnd w:id="0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96.)</w:t>
      </w:r>
    </w:p>
    <w:p w:rsidR="00B34ABA" w:rsidRPr="00B34ABA" w:rsidRDefault="00B34ABA" w:rsidP="00B34AB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>Suggested</w:t>
      </w:r>
      <w:proofErr w:type="spellEnd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b/>
          <w:bCs/>
          <w:sz w:val="27"/>
          <w:szCs w:val="27"/>
          <w:lang w:eastAsia="cs-CZ"/>
        </w:rPr>
        <w:t>Readings</w:t>
      </w:r>
      <w:proofErr w:type="spellEnd"/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Gumperz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J. J.,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Levinson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S. C. 1996.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Rethinking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relativity. 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Cambridge, UK: Cambridge University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Press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Lucy, John A. 1992.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diversity and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: A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reformulation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linguistic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relativity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hypothesis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.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Cambridge, UK: Cambridge University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Press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Sapir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, E. 1929. "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status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as a science".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5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207-14.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Reprinted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selected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writings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Edward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Sapir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in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culture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, and personality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by D. G.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Mandelbaum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160-6.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Berkeley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: University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California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Press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</w:t>
      </w:r>
    </w:p>
    <w:p w:rsidR="00B34ABA" w:rsidRPr="00B34ABA" w:rsidRDefault="00B34ABA" w:rsidP="00B34A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B. L. 1940. "Science and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linguistics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". </w:t>
      </w:r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Technology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Review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42</w:t>
      </w:r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: 227-31, 247-8.</w:t>
      </w:r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Reprinted in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Language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thought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, and reality: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Selected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writings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Benjamin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Lee</w:t>
      </w:r>
      <w:proofErr w:type="spellEnd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i/>
          <w:iCs/>
          <w:sz w:val="24"/>
          <w:szCs w:val="24"/>
          <w:lang w:eastAsia="cs-CZ"/>
        </w:rPr>
        <w:t>Whorf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ed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. by J. B.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Carroll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, 207-19. Cambridge, MA: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The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Technology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Press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of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MIT/New York: </w:t>
      </w:r>
      <w:proofErr w:type="spellStart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Wiley</w:t>
      </w:r>
      <w:proofErr w:type="spellEnd"/>
      <w:r w:rsidRPr="00B34ABA">
        <w:rPr>
          <w:rFonts w:asciiTheme="majorHAnsi" w:eastAsia="Times New Roman" w:hAnsiTheme="majorHAnsi" w:cstheme="majorHAnsi"/>
          <w:sz w:val="24"/>
          <w:szCs w:val="24"/>
          <w:lang w:eastAsia="cs-CZ"/>
        </w:rPr>
        <w:t>. 1956.</w:t>
      </w:r>
    </w:p>
    <w:p w:rsidR="00EF182E" w:rsidRPr="00B34ABA" w:rsidRDefault="00EF182E">
      <w:pPr>
        <w:rPr>
          <w:rFonts w:asciiTheme="majorHAnsi" w:hAnsiTheme="majorHAnsi" w:cstheme="majorHAnsi"/>
        </w:rPr>
      </w:pPr>
    </w:p>
    <w:sectPr w:rsidR="00EF182E" w:rsidRPr="00B3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BA"/>
    <w:rsid w:val="00B34ABA"/>
    <w:rsid w:val="00E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F16F"/>
  <w15:chartTrackingRefBased/>
  <w15:docId w15:val="{C75C4B13-E410-4B3F-A115-A257736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34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A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4A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34AB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34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i.n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1</cp:revision>
  <dcterms:created xsi:type="dcterms:W3CDTF">2017-10-19T10:54:00Z</dcterms:created>
  <dcterms:modified xsi:type="dcterms:W3CDTF">2017-10-19T10:59:00Z</dcterms:modified>
</cp:coreProperties>
</file>