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C0" w:rsidRPr="009803C0" w:rsidRDefault="009803C0" w:rsidP="009803C0">
      <w:pPr>
        <w:spacing w:before="120" w:line="336" w:lineRule="auto"/>
        <w:jc w:val="both"/>
        <w:rPr>
          <w:rFonts w:ascii="Calibri" w:eastAsia="Adobe Myungjo Std M" w:hAnsi="Calibri"/>
          <w:b/>
          <w:smallCaps/>
        </w:rPr>
      </w:pPr>
      <w:proofErr w:type="spellStart"/>
      <w:r w:rsidRPr="009803C0">
        <w:rPr>
          <w:rFonts w:ascii="Calibri" w:eastAsia="Adobe Myungjo Std M" w:hAnsi="Calibri"/>
          <w:b/>
          <w:smallCaps/>
        </w:rPr>
        <w:t>Will</w:t>
      </w:r>
      <w:r>
        <w:rPr>
          <w:rFonts w:ascii="Calibri" w:eastAsia="Adobe Myungjo Std M" w:hAnsi="Calibri"/>
          <w:b/>
          <w:smallCaps/>
        </w:rPr>
        <w:t>i</w:t>
      </w:r>
      <w:proofErr w:type="spellEnd"/>
      <w:r w:rsidRPr="009803C0">
        <w:rPr>
          <w:rFonts w:ascii="Calibri" w:eastAsia="Adobe Myungjo Std M" w:hAnsi="Calibri"/>
          <w:b/>
          <w:smallCaps/>
        </w:rPr>
        <w:t xml:space="preserve"> </w:t>
      </w:r>
      <w:proofErr w:type="spellStart"/>
      <w:r w:rsidRPr="009803C0">
        <w:rPr>
          <w:rFonts w:ascii="Calibri" w:eastAsia="Adobe Myungjo Std M" w:hAnsi="Calibri"/>
          <w:b/>
          <w:smallCaps/>
        </w:rPr>
        <w:t>Kymlicka</w:t>
      </w:r>
      <w:proofErr w:type="spellEnd"/>
    </w:p>
    <w:p w:rsidR="009803C0" w:rsidRPr="00CF321F" w:rsidRDefault="009803C0" w:rsidP="009803C0">
      <w:pPr>
        <w:spacing w:before="120" w:line="336" w:lineRule="auto"/>
        <w:jc w:val="both"/>
        <w:rPr>
          <w:rFonts w:ascii="Calibri" w:eastAsia="Adobe Myungjo Std M" w:hAnsi="Calibri"/>
        </w:rPr>
      </w:pPr>
      <w:r w:rsidRPr="00CF321F">
        <w:rPr>
          <w:rFonts w:ascii="Calibri" w:eastAsia="Adobe Myungjo Std M" w:hAnsi="Calibri"/>
          <w:b/>
        </w:rPr>
        <w:t>Menšinová práva</w:t>
      </w:r>
      <w:r w:rsidRPr="00CF321F">
        <w:rPr>
          <w:rFonts w:ascii="Calibri" w:eastAsia="Adobe Myungjo Std M" w:hAnsi="Calibri"/>
        </w:rPr>
        <w:t xml:space="preserve"> jsou podle </w:t>
      </w:r>
      <w:proofErr w:type="spellStart"/>
      <w:r w:rsidRPr="00CF321F">
        <w:rPr>
          <w:rFonts w:ascii="Calibri" w:eastAsia="Adobe Myungjo Std M" w:hAnsi="Calibri"/>
        </w:rPr>
        <w:t>Kylicky</w:t>
      </w:r>
      <w:proofErr w:type="spellEnd"/>
      <w:r w:rsidRPr="00CF321F">
        <w:rPr>
          <w:rFonts w:ascii="Calibri" w:eastAsia="Adobe Myungjo Std M" w:hAnsi="Calibri"/>
        </w:rPr>
        <w:t xml:space="preserve"> pak nejméně trojího typu:</w:t>
      </w:r>
    </w:p>
    <w:p w:rsidR="009803C0" w:rsidRPr="00CF321F" w:rsidRDefault="009803C0" w:rsidP="009803C0">
      <w:pPr>
        <w:spacing w:before="120" w:line="336" w:lineRule="auto"/>
        <w:jc w:val="both"/>
        <w:rPr>
          <w:rFonts w:ascii="Calibri" w:eastAsia="Adobe Myungjo Std M" w:hAnsi="Calibri"/>
          <w:b/>
        </w:rPr>
      </w:pPr>
      <w:r w:rsidRPr="00CF321F">
        <w:rPr>
          <w:rFonts w:ascii="Calibri" w:eastAsia="Adobe Myungjo Std M" w:hAnsi="Calibri"/>
        </w:rPr>
        <w:t xml:space="preserve">a) </w:t>
      </w:r>
      <w:r w:rsidRPr="00CF321F">
        <w:rPr>
          <w:rFonts w:ascii="Calibri" w:eastAsia="Adobe Myungjo Std M" w:hAnsi="Calibri"/>
          <w:b/>
        </w:rPr>
        <w:t>práva spojená s autonomní samosprávou</w:t>
      </w:r>
      <w:r w:rsidRPr="00CF321F">
        <w:rPr>
          <w:rFonts w:ascii="Calibri" w:eastAsia="Adobe Myungjo Std M" w:hAnsi="Calibri"/>
        </w:rPr>
        <w:t>:</w:t>
      </w:r>
    </w:p>
    <w:p w:rsidR="009803C0" w:rsidRPr="00CF321F" w:rsidRDefault="009803C0" w:rsidP="009803C0">
      <w:pPr>
        <w:spacing w:before="120" w:line="336" w:lineRule="auto"/>
        <w:jc w:val="both"/>
        <w:rPr>
          <w:rFonts w:ascii="Calibri" w:eastAsia="Adobe Myungjo Std M" w:hAnsi="Calibri"/>
        </w:rPr>
      </w:pPr>
      <w:r w:rsidRPr="00CF321F">
        <w:rPr>
          <w:rFonts w:ascii="Calibri" w:eastAsia="Adobe Myungjo Std M" w:hAnsi="Calibri"/>
        </w:rPr>
        <w:t>práva umožňující menšině nějakou z forem autonomní samosprávy nebo teritoriální jurisdikci (např. v rámci federativního uspořádání státu) tak, aby daná menšina byla schopna v nejlepším zájmu svého lidu zajišťovat úplný a svobodný kulturní rozvoj. Dovedeno do hraniční situace, umožňují tato práva menšině zvolit odchod od většího státního celku, pokud by nabyla dojmu, že její sebeurčení není možné ve stávajícím státním rámci;</w:t>
      </w:r>
    </w:p>
    <w:p w:rsidR="009803C0" w:rsidRPr="00CF321F" w:rsidRDefault="009803C0" w:rsidP="009803C0">
      <w:pPr>
        <w:spacing w:before="120" w:line="336" w:lineRule="auto"/>
        <w:jc w:val="both"/>
        <w:rPr>
          <w:rFonts w:ascii="Calibri" w:eastAsia="Adobe Myungjo Std M" w:hAnsi="Calibri"/>
          <w:b/>
        </w:rPr>
      </w:pPr>
      <w:r w:rsidRPr="00CF321F">
        <w:rPr>
          <w:rFonts w:ascii="Calibri" w:eastAsia="Adobe Myungjo Std M" w:hAnsi="Calibri"/>
        </w:rPr>
        <w:t xml:space="preserve">b) </w:t>
      </w:r>
      <w:proofErr w:type="spellStart"/>
      <w:r w:rsidRPr="00CF321F">
        <w:rPr>
          <w:rFonts w:ascii="Calibri" w:eastAsia="Adobe Myungjo Std M" w:hAnsi="Calibri"/>
          <w:b/>
        </w:rPr>
        <w:t>polyetnická</w:t>
      </w:r>
      <w:proofErr w:type="spellEnd"/>
      <w:r w:rsidRPr="00CF321F">
        <w:rPr>
          <w:rFonts w:ascii="Calibri" w:eastAsia="Adobe Myungjo Std M" w:hAnsi="Calibri"/>
          <w:b/>
        </w:rPr>
        <w:t xml:space="preserve"> (akomodační) práva</w:t>
      </w:r>
      <w:r w:rsidRPr="00CF321F">
        <w:rPr>
          <w:rFonts w:ascii="Calibri" w:eastAsia="Adobe Myungjo Std M" w:hAnsi="Calibri"/>
        </w:rPr>
        <w:t>:</w:t>
      </w:r>
    </w:p>
    <w:p w:rsidR="009803C0" w:rsidRPr="00CF321F" w:rsidRDefault="009803C0" w:rsidP="009803C0">
      <w:pPr>
        <w:spacing w:before="120" w:line="336" w:lineRule="auto"/>
        <w:jc w:val="both"/>
        <w:rPr>
          <w:rFonts w:ascii="Calibri" w:eastAsia="Adobe Myungjo Std M" w:hAnsi="Calibri"/>
        </w:rPr>
      </w:pPr>
      <w:r w:rsidRPr="00CF321F">
        <w:rPr>
          <w:rFonts w:ascii="Calibri" w:eastAsia="Adobe Myungjo Std M" w:hAnsi="Calibri"/>
        </w:rPr>
        <w:t xml:space="preserve">práva spojená s rovným zapojením do většinové společnosti za současného vzájemného respektování svébytných prvků kulturní odlišnosti: tělesných znaků, vizáže a oblečení člověka, specifických projevů jazyka a gest, specifických náboženských pravidel. Uplatňuje se zde i požadavek na finanční podporu státu ve prospěch specifických kulturních praktik a institucí (vydávání časopisů a knih v rodném jazyce, podpora uměleckých festivalů, galerií, muzeí). Tato práva mají umožnit integraci, nikoliv samosprávu; </w:t>
      </w:r>
    </w:p>
    <w:p w:rsidR="009803C0" w:rsidRPr="00CF321F" w:rsidRDefault="009803C0" w:rsidP="009803C0">
      <w:pPr>
        <w:spacing w:before="120" w:line="336" w:lineRule="auto"/>
        <w:jc w:val="both"/>
        <w:rPr>
          <w:rFonts w:ascii="Calibri" w:eastAsia="Adobe Myungjo Std M" w:hAnsi="Calibri"/>
        </w:rPr>
      </w:pPr>
      <w:r w:rsidRPr="00CF321F">
        <w:rPr>
          <w:rFonts w:ascii="Calibri" w:eastAsia="Adobe Myungjo Std M" w:hAnsi="Calibri"/>
        </w:rPr>
        <w:t xml:space="preserve">c) </w:t>
      </w:r>
      <w:r w:rsidRPr="00CF321F">
        <w:rPr>
          <w:rFonts w:ascii="Calibri" w:eastAsia="Adobe Myungjo Std M" w:hAnsi="Calibri"/>
          <w:b/>
        </w:rPr>
        <w:t>speciální reprezentační práva</w:t>
      </w:r>
      <w:r w:rsidRPr="00CF321F">
        <w:rPr>
          <w:rFonts w:ascii="Calibri" w:eastAsia="Adobe Myungjo Std M" w:hAnsi="Calibri"/>
        </w:rPr>
        <w:t>:</w:t>
      </w:r>
    </w:p>
    <w:p w:rsidR="009803C0" w:rsidRPr="00CF321F" w:rsidRDefault="009803C0" w:rsidP="009803C0">
      <w:pPr>
        <w:spacing w:before="120" w:line="336" w:lineRule="auto"/>
        <w:jc w:val="both"/>
        <w:rPr>
          <w:rFonts w:ascii="Calibri" w:eastAsia="Adobe Myungjo Std M" w:hAnsi="Calibri"/>
        </w:rPr>
      </w:pPr>
      <w:r w:rsidRPr="00CF321F">
        <w:rPr>
          <w:rFonts w:ascii="Calibri" w:eastAsia="Adobe Myungjo Std M" w:hAnsi="Calibri"/>
        </w:rPr>
        <w:t>práva na vlastní zastoupení menšin ve státních institucích (zastupitelských shromážděních, různých vládních či správních sociálních a kulturních výborech apod.). Tato práva ovšem za určitých okolností mohou kolidovat se samosprávnými právy.</w:t>
      </w:r>
    </w:p>
    <w:p w:rsidR="009803C0" w:rsidRDefault="009803C0" w:rsidP="009803C0">
      <w:pPr>
        <w:autoSpaceDE w:val="0"/>
        <w:autoSpaceDN w:val="0"/>
        <w:adjustRightInd w:val="0"/>
        <w:spacing w:before="120" w:line="336" w:lineRule="auto"/>
        <w:jc w:val="both"/>
        <w:rPr>
          <w:rFonts w:ascii="Calibri" w:eastAsia="Adobe Myungjo Std M" w:hAnsi="Calibri"/>
        </w:rPr>
      </w:pPr>
      <w:r w:rsidRPr="00CF321F">
        <w:rPr>
          <w:rFonts w:ascii="Calibri" w:eastAsia="Adobe Myungjo Std M" w:hAnsi="Calibri"/>
        </w:rPr>
        <w:t xml:space="preserve"> </w:t>
      </w:r>
      <w:r w:rsidRPr="00CF321F">
        <w:rPr>
          <w:rFonts w:ascii="Calibri" w:eastAsia="Adobe Myungjo Std M" w:hAnsi="Calibri"/>
        </w:rPr>
        <w:tab/>
      </w:r>
    </w:p>
    <w:p w:rsidR="009803C0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(W. </w:t>
      </w:r>
      <w:proofErr w:type="spellStart"/>
      <w:r>
        <w:rPr>
          <w:rFonts w:ascii="Calibri" w:hAnsi="Calibri"/>
        </w:rPr>
        <w:t>Kymlicka</w:t>
      </w:r>
      <w:proofErr w:type="spellEnd"/>
      <w:r>
        <w:rPr>
          <w:rFonts w:ascii="Calibri" w:hAnsi="Calibri"/>
        </w:rPr>
        <w:t xml:space="preserve">: </w:t>
      </w:r>
      <w:proofErr w:type="spellStart"/>
      <w:r w:rsidRPr="00CF321F">
        <w:rPr>
          <w:rFonts w:ascii="Calibri" w:eastAsia="Adobe Myungjo Std M" w:hAnsi="Calibri"/>
        </w:rPr>
        <w:t>The</w:t>
      </w:r>
      <w:proofErr w:type="spellEnd"/>
      <w:r w:rsidRPr="00CF321F">
        <w:rPr>
          <w:rFonts w:ascii="Calibri" w:eastAsia="Adobe Myungjo Std M" w:hAnsi="Calibri"/>
        </w:rPr>
        <w:t xml:space="preserve"> </w:t>
      </w:r>
      <w:proofErr w:type="spellStart"/>
      <w:r w:rsidRPr="00CF321F">
        <w:rPr>
          <w:rFonts w:ascii="Calibri" w:eastAsia="Adobe Myungjo Std M" w:hAnsi="Calibri"/>
        </w:rPr>
        <w:t>Rise</w:t>
      </w:r>
      <w:proofErr w:type="spellEnd"/>
      <w:r w:rsidRPr="00CF321F">
        <w:rPr>
          <w:rFonts w:ascii="Calibri" w:eastAsia="Adobe Myungjo Std M" w:hAnsi="Calibri"/>
        </w:rPr>
        <w:t xml:space="preserve"> and </w:t>
      </w:r>
      <w:proofErr w:type="spellStart"/>
      <w:r w:rsidRPr="00CF321F">
        <w:rPr>
          <w:rFonts w:ascii="Calibri" w:eastAsia="Adobe Myungjo Std M" w:hAnsi="Calibri"/>
        </w:rPr>
        <w:t>Fall</w:t>
      </w:r>
      <w:proofErr w:type="spellEnd"/>
      <w:r w:rsidRPr="00CF321F">
        <w:rPr>
          <w:rFonts w:ascii="Calibri" w:eastAsia="Adobe Myungjo Std M" w:hAnsi="Calibri"/>
        </w:rPr>
        <w:t xml:space="preserve"> on </w:t>
      </w:r>
      <w:proofErr w:type="spellStart"/>
      <w:r w:rsidRPr="00CF321F">
        <w:rPr>
          <w:rFonts w:ascii="Calibri" w:eastAsia="Adobe Myungjo Std M" w:hAnsi="Calibri"/>
        </w:rPr>
        <w:t>Multiculturalism</w:t>
      </w:r>
      <w:proofErr w:type="spellEnd"/>
      <w:r w:rsidRPr="00CF321F">
        <w:rPr>
          <w:rFonts w:ascii="Calibri" w:eastAsia="Adobe Myungjo Std M" w:hAnsi="Calibri"/>
        </w:rPr>
        <w:t xml:space="preserve">? New </w:t>
      </w:r>
      <w:proofErr w:type="spellStart"/>
      <w:r w:rsidRPr="00CF321F">
        <w:rPr>
          <w:rFonts w:ascii="Calibri" w:eastAsia="Adobe Myungjo Std M" w:hAnsi="Calibri"/>
        </w:rPr>
        <w:t>Debates</w:t>
      </w:r>
      <w:proofErr w:type="spellEnd"/>
      <w:r w:rsidRPr="00CF321F">
        <w:rPr>
          <w:rFonts w:ascii="Calibri" w:eastAsia="Adobe Myungjo Std M" w:hAnsi="Calibri"/>
        </w:rPr>
        <w:t xml:space="preserve"> on </w:t>
      </w:r>
      <w:proofErr w:type="spellStart"/>
      <w:r w:rsidRPr="00CF321F">
        <w:rPr>
          <w:rFonts w:ascii="Calibri" w:eastAsia="Adobe Myungjo Std M" w:hAnsi="Calibri"/>
        </w:rPr>
        <w:t>Inclusion</w:t>
      </w:r>
      <w:proofErr w:type="spellEnd"/>
      <w:r w:rsidRPr="00CF321F">
        <w:rPr>
          <w:rFonts w:ascii="Calibri" w:eastAsia="Adobe Myungjo Std M" w:hAnsi="Calibri"/>
        </w:rPr>
        <w:t xml:space="preserve"> and </w:t>
      </w:r>
      <w:proofErr w:type="spellStart"/>
      <w:r w:rsidRPr="00CF321F">
        <w:rPr>
          <w:rFonts w:ascii="Calibri" w:eastAsia="Adobe Myungjo Std M" w:hAnsi="Calibri"/>
        </w:rPr>
        <w:t>Accommodation</w:t>
      </w:r>
      <w:proofErr w:type="spellEnd"/>
      <w:r w:rsidRPr="00CF321F">
        <w:rPr>
          <w:rFonts w:ascii="Calibri" w:eastAsia="Adobe Myungjo Std M" w:hAnsi="Calibri"/>
        </w:rPr>
        <w:t xml:space="preserve"> in Diverse </w:t>
      </w:r>
      <w:proofErr w:type="spellStart"/>
      <w:r w:rsidRPr="00CF321F">
        <w:rPr>
          <w:rFonts w:ascii="Calibri" w:eastAsia="Adobe Myungjo Std M" w:hAnsi="Calibri"/>
        </w:rPr>
        <w:t>Societies</w:t>
      </w:r>
      <w:proofErr w:type="spellEnd"/>
      <w:r w:rsidRPr="00CF321F">
        <w:rPr>
          <w:rFonts w:ascii="Calibri" w:eastAsia="Adobe Myungjo Std M" w:hAnsi="Calibri"/>
        </w:rPr>
        <w:t xml:space="preserve">. In: </w:t>
      </w:r>
      <w:proofErr w:type="spellStart"/>
      <w:r w:rsidRPr="00CF321F">
        <w:rPr>
          <w:rFonts w:ascii="Calibri" w:eastAsia="Adobe Myungjo Std M" w:hAnsi="Calibri"/>
        </w:rPr>
        <w:t>Vertovec</w:t>
      </w:r>
      <w:proofErr w:type="spellEnd"/>
      <w:r w:rsidRPr="00CF321F">
        <w:rPr>
          <w:rFonts w:ascii="Calibri" w:eastAsia="Adobe Myungjo Std M" w:hAnsi="Calibri"/>
        </w:rPr>
        <w:t xml:space="preserve">, Steven – </w:t>
      </w:r>
      <w:proofErr w:type="spellStart"/>
      <w:r w:rsidRPr="00CF321F">
        <w:rPr>
          <w:rFonts w:ascii="Calibri" w:eastAsia="Adobe Myungjo Std M" w:hAnsi="Calibri"/>
        </w:rPr>
        <w:t>Wessendorf</w:t>
      </w:r>
      <w:proofErr w:type="spellEnd"/>
      <w:r w:rsidRPr="00CF321F">
        <w:rPr>
          <w:rFonts w:ascii="Calibri" w:eastAsia="Adobe Myungjo Std M" w:hAnsi="Calibri"/>
        </w:rPr>
        <w:t xml:space="preserve">, </w:t>
      </w:r>
      <w:proofErr w:type="spellStart"/>
      <w:r w:rsidRPr="00CF321F">
        <w:rPr>
          <w:rFonts w:ascii="Calibri" w:eastAsia="Adobe Myungjo Std M" w:hAnsi="Calibri"/>
        </w:rPr>
        <w:t>Susanne</w:t>
      </w:r>
      <w:proofErr w:type="spellEnd"/>
      <w:r w:rsidRPr="00CF321F">
        <w:rPr>
          <w:rFonts w:ascii="Calibri" w:eastAsia="Adobe Myungjo Std M" w:hAnsi="Calibri"/>
        </w:rPr>
        <w:t xml:space="preserve"> (</w:t>
      </w:r>
      <w:proofErr w:type="spellStart"/>
      <w:r w:rsidRPr="00CF321F">
        <w:rPr>
          <w:rFonts w:ascii="Calibri" w:eastAsia="Adobe Myungjo Std M" w:hAnsi="Calibri"/>
        </w:rPr>
        <w:t>edd</w:t>
      </w:r>
      <w:proofErr w:type="spellEnd"/>
      <w:r w:rsidRPr="00CF321F">
        <w:rPr>
          <w:rFonts w:ascii="Calibri" w:eastAsia="Adobe Myungjo Std M" w:hAnsi="Calibri"/>
        </w:rPr>
        <w:t xml:space="preserve">.): </w:t>
      </w:r>
      <w:proofErr w:type="spellStart"/>
      <w:r w:rsidRPr="00CF321F">
        <w:rPr>
          <w:rFonts w:ascii="Calibri" w:eastAsia="Adobe Myungjo Std M" w:hAnsi="Calibri"/>
        </w:rPr>
        <w:t>The</w:t>
      </w:r>
      <w:proofErr w:type="spellEnd"/>
      <w:r w:rsidRPr="00CF321F">
        <w:rPr>
          <w:rFonts w:ascii="Calibri" w:eastAsia="Adobe Myungjo Std M" w:hAnsi="Calibri"/>
        </w:rPr>
        <w:t xml:space="preserve"> </w:t>
      </w:r>
      <w:proofErr w:type="spellStart"/>
      <w:r w:rsidRPr="00CF321F">
        <w:rPr>
          <w:rFonts w:ascii="Calibri" w:eastAsia="Adobe Myungjo Std M" w:hAnsi="Calibri"/>
        </w:rPr>
        <w:t>Multicultural</w:t>
      </w:r>
      <w:proofErr w:type="spellEnd"/>
      <w:r w:rsidRPr="00CF321F">
        <w:rPr>
          <w:rFonts w:ascii="Calibri" w:eastAsia="Adobe Myungjo Std M" w:hAnsi="Calibri"/>
        </w:rPr>
        <w:t xml:space="preserve"> </w:t>
      </w:r>
      <w:proofErr w:type="spellStart"/>
      <w:r w:rsidRPr="00CF321F">
        <w:rPr>
          <w:rFonts w:ascii="Calibri" w:eastAsia="Adobe Myungjo Std M" w:hAnsi="Calibri"/>
        </w:rPr>
        <w:t>Backlash</w:t>
      </w:r>
      <w:proofErr w:type="spellEnd"/>
      <w:r w:rsidRPr="00CF321F">
        <w:rPr>
          <w:rFonts w:ascii="Calibri" w:eastAsia="Adobe Myungjo Std M" w:hAnsi="Calibri"/>
        </w:rPr>
        <w:t xml:space="preserve">: </w:t>
      </w:r>
      <w:proofErr w:type="spellStart"/>
      <w:r w:rsidRPr="00CF321F">
        <w:rPr>
          <w:rFonts w:ascii="Calibri" w:eastAsia="Adobe Myungjo Std M" w:hAnsi="Calibri"/>
        </w:rPr>
        <w:t>European</w:t>
      </w:r>
      <w:proofErr w:type="spellEnd"/>
      <w:r w:rsidRPr="00CF321F">
        <w:rPr>
          <w:rFonts w:ascii="Calibri" w:eastAsia="Adobe Myungjo Std M" w:hAnsi="Calibri"/>
        </w:rPr>
        <w:t xml:space="preserve"> </w:t>
      </w:r>
      <w:proofErr w:type="spellStart"/>
      <w:r w:rsidRPr="00CF321F">
        <w:rPr>
          <w:rFonts w:ascii="Calibri" w:eastAsia="Adobe Myungjo Std M" w:hAnsi="Calibri"/>
        </w:rPr>
        <w:t>Discourses</w:t>
      </w:r>
      <w:proofErr w:type="spellEnd"/>
      <w:r w:rsidRPr="00CF321F">
        <w:rPr>
          <w:rFonts w:ascii="Calibri" w:eastAsia="Adobe Myungjo Std M" w:hAnsi="Calibri"/>
        </w:rPr>
        <w:t xml:space="preserve">, </w:t>
      </w:r>
      <w:proofErr w:type="spellStart"/>
      <w:r w:rsidRPr="00CF321F">
        <w:rPr>
          <w:rFonts w:ascii="Calibri" w:eastAsia="Adobe Myungjo Std M" w:hAnsi="Calibri"/>
        </w:rPr>
        <w:t>Policies</w:t>
      </w:r>
      <w:proofErr w:type="spellEnd"/>
      <w:r w:rsidRPr="00CF321F">
        <w:rPr>
          <w:rFonts w:ascii="Calibri" w:eastAsia="Adobe Myungjo Std M" w:hAnsi="Calibri"/>
        </w:rPr>
        <w:t xml:space="preserve"> and </w:t>
      </w:r>
      <w:proofErr w:type="spellStart"/>
      <w:r w:rsidRPr="00CF321F">
        <w:rPr>
          <w:rFonts w:ascii="Calibri" w:eastAsia="Adobe Myungjo Std M" w:hAnsi="Calibri"/>
        </w:rPr>
        <w:t>Practices</w:t>
      </w:r>
      <w:proofErr w:type="spellEnd"/>
      <w:r w:rsidRPr="00CF321F">
        <w:rPr>
          <w:rFonts w:ascii="Calibri" w:eastAsia="Adobe Myungjo Std M" w:hAnsi="Calibri"/>
        </w:rPr>
        <w:t>. London – New York 2010</w:t>
      </w:r>
      <w:r>
        <w:rPr>
          <w:rFonts w:ascii="Calibri" w:eastAsia="Adobe Myungjo Std M" w:hAnsi="Calibri"/>
        </w:rPr>
        <w:t>. s. 32-49.)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ind w:firstLine="708"/>
        <w:jc w:val="both"/>
        <w:rPr>
          <w:rFonts w:ascii="Calibri" w:hAnsi="Calibri"/>
        </w:rPr>
      </w:pPr>
      <w:r w:rsidRPr="00CF321F">
        <w:rPr>
          <w:rFonts w:ascii="Calibri" w:hAnsi="Calibri"/>
        </w:rPr>
        <w:t xml:space="preserve">Můžeme rozlišit více méně tři podoby multikulturalismu, které se vyvinuly v západních demokraciích. Zaprvé je to nová forma zmocnění domorodého obyvatelstva, jako jsou Maorové na Novém Zélandu, </w:t>
      </w:r>
      <w:proofErr w:type="spellStart"/>
      <w:r w:rsidRPr="00CF321F">
        <w:rPr>
          <w:rFonts w:ascii="Calibri" w:hAnsi="Calibri"/>
        </w:rPr>
        <w:t>Aboriginové</w:t>
      </w:r>
      <w:proofErr w:type="spellEnd"/>
      <w:r w:rsidRPr="00CF321F">
        <w:rPr>
          <w:rFonts w:ascii="Calibri" w:hAnsi="Calibri"/>
        </w:rPr>
        <w:t xml:space="preserve"> v Kanadě a Austrálii, původní Američané, Sámové ve Skandinávii či </w:t>
      </w:r>
      <w:proofErr w:type="spellStart"/>
      <w:r w:rsidRPr="00CF321F">
        <w:rPr>
          <w:rFonts w:ascii="Calibri" w:hAnsi="Calibri"/>
        </w:rPr>
        <w:t>Inuité</w:t>
      </w:r>
      <w:proofErr w:type="spellEnd"/>
      <w:r w:rsidRPr="00CF321F">
        <w:rPr>
          <w:rFonts w:ascii="Calibri" w:hAnsi="Calibri"/>
        </w:rPr>
        <w:t xml:space="preserve"> v Grónsku. Tyto nové modely multikulturního občanství pro domorodé obyvatele často zahrnují některé z těchto devíti strategií: 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1) uznání práva k půdě;</w:t>
      </w:r>
      <w:bookmarkStart w:id="0" w:name="_GoBack"/>
      <w:bookmarkEnd w:id="0"/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lastRenderedPageBreak/>
        <w:t>2) uznání práva na samosprávu;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3) dodržování historických dohod a/nebo podepisování nových;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4) uznání kulturních práv na vlastní jazyk, práva lovu/rybolovu, práva na posvátná místa;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5) uznání zvykového práva;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6) záruka zastoupení / poradních funkcí v ústřední vládě;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7) ústavní nebo zákonné potvrzení odlišného statutu domorodého obyvatelstva;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8) podpora/ratifikace mezinárodních dohod o právech domorodých obyvatel;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9) podpůrné akce (tzv. pozitivní diskriminace).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ind w:firstLine="708"/>
        <w:jc w:val="both"/>
        <w:rPr>
          <w:rFonts w:ascii="Calibri" w:hAnsi="Calibri"/>
        </w:rPr>
      </w:pPr>
      <w:r w:rsidRPr="00CF321F">
        <w:rPr>
          <w:rFonts w:ascii="Calibri" w:hAnsi="Calibri"/>
        </w:rPr>
        <w:t xml:space="preserve">Zadruhé existují nové typy autonomie a sdílení moci pro národnostní menšiny v rámci států, jako jsou například Baskové a Katalánci ve Španělsku, Vlámové a </w:t>
      </w:r>
      <w:proofErr w:type="spellStart"/>
      <w:r w:rsidRPr="00CF321F">
        <w:rPr>
          <w:rFonts w:ascii="Calibri" w:hAnsi="Calibri"/>
        </w:rPr>
        <w:t>Valoni</w:t>
      </w:r>
      <w:proofErr w:type="spellEnd"/>
      <w:r w:rsidRPr="00CF321F">
        <w:rPr>
          <w:rFonts w:ascii="Calibri" w:hAnsi="Calibri"/>
        </w:rPr>
        <w:t xml:space="preserve"> v Belgii, Skoti a Velšané v Británii, </w:t>
      </w:r>
      <w:proofErr w:type="spellStart"/>
      <w:r w:rsidRPr="00CF321F">
        <w:rPr>
          <w:rFonts w:ascii="Calibri" w:hAnsi="Calibri"/>
        </w:rPr>
        <w:t>Quebečané</w:t>
      </w:r>
      <w:proofErr w:type="spellEnd"/>
      <w:r w:rsidRPr="00CF321F">
        <w:rPr>
          <w:rFonts w:ascii="Calibri" w:hAnsi="Calibri"/>
        </w:rPr>
        <w:t xml:space="preserve"> v Kanadě, Němci v Jižním Tyrolsku, Švédi ve Finsku apod. Tyto nové formy multikulturního občanství pro národnostní menšiny většinou zahrnují kombinaci následujících šesti prvků: 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 xml:space="preserve">1) federální nebo </w:t>
      </w:r>
      <w:proofErr w:type="spellStart"/>
      <w:r w:rsidRPr="00CF321F">
        <w:rPr>
          <w:rFonts w:ascii="Calibri" w:hAnsi="Calibri"/>
        </w:rPr>
        <w:t>kvazifederální</w:t>
      </w:r>
      <w:proofErr w:type="spellEnd"/>
      <w:r w:rsidRPr="00CF321F">
        <w:rPr>
          <w:rFonts w:ascii="Calibri" w:hAnsi="Calibri"/>
        </w:rPr>
        <w:t xml:space="preserve"> územní autonomie;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2) status úředního jazyka, ať už v regionu, nebo v celém státě;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3) záruka zastoupení v ústřední vládě nebo v rámci ústavního soudu;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4) veřejná finanční podpora univerzit/škol/médií v jazyce menšiny;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5) ústavní nebo parlamentní potvrzení „</w:t>
      </w:r>
      <w:proofErr w:type="spellStart"/>
      <w:r w:rsidRPr="00CF321F">
        <w:rPr>
          <w:rFonts w:ascii="Calibri" w:hAnsi="Calibri"/>
        </w:rPr>
        <w:t>mnohonárodnosti</w:t>
      </w:r>
      <w:proofErr w:type="spellEnd"/>
      <w:r w:rsidRPr="00CF321F">
        <w:rPr>
          <w:rFonts w:ascii="Calibri" w:hAnsi="Calibri"/>
        </w:rPr>
        <w:t>“;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6) samostatná reprezentace na mezinárodní scéně, například možnost realizovat se v mezinárodních orgánech, podepisovat dohody nebo postavit vlastní olympijské družstvo.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ind w:firstLine="708"/>
        <w:jc w:val="both"/>
        <w:rPr>
          <w:rFonts w:ascii="Calibri" w:hAnsi="Calibri"/>
        </w:rPr>
      </w:pPr>
      <w:r w:rsidRPr="00CF321F">
        <w:rPr>
          <w:rFonts w:ascii="Calibri" w:hAnsi="Calibri"/>
        </w:rPr>
        <w:t>A konečně vznikají nové formy multikulturního občanství pro skupiny imigrantů, které mohou zahrnovat kombinaci následujících osmi strategií: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1) ústavní, zákonné nebo parlamentní potvrzení multikulturalismu na ústřední a/nebo regionální a samosprávné úrovni;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2) přijetí multikulturalismu do rámce školních osnov;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3) zahrnutí etnického zastoupení a etnické ohleduplnosti do mandátu veřejných médií nebo do procesu udělování licence médiím;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lastRenderedPageBreak/>
        <w:t>4) výjimky z pravidel oblékání, ze zákonů o zavírání obchodů a restaurací v neděli atd., dané buďto zákonem, nebo rozhodnutím soudu;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5) povolení dvojího občanství;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6) finanční podpora etnických organizací, které podporují kulturní akce;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7) finanční podpora dvojjazyčného vzdělávání nebo instruktáže v mateřském jazyce;</w:t>
      </w:r>
    </w:p>
    <w:p w:rsidR="009803C0" w:rsidRPr="00CF321F" w:rsidRDefault="009803C0" w:rsidP="009803C0">
      <w:pPr>
        <w:shd w:val="clear" w:color="auto" w:fill="D9D9D9" w:themeFill="background1" w:themeFillShade="D9"/>
        <w:spacing w:before="120" w:line="336" w:lineRule="auto"/>
        <w:jc w:val="both"/>
        <w:rPr>
          <w:rFonts w:ascii="Calibri" w:hAnsi="Calibri"/>
        </w:rPr>
      </w:pPr>
      <w:r w:rsidRPr="00CF321F">
        <w:rPr>
          <w:rFonts w:ascii="Calibri" w:hAnsi="Calibri"/>
        </w:rPr>
        <w:t>8) podpůrné akce (tzv. pozitivní diskriminace) pro znevýhodněné skupiny imigrantů.</w:t>
      </w:r>
    </w:p>
    <w:p w:rsidR="009803C0" w:rsidRPr="00CF321F" w:rsidRDefault="009803C0" w:rsidP="009803C0">
      <w:pPr>
        <w:autoSpaceDE w:val="0"/>
        <w:autoSpaceDN w:val="0"/>
        <w:adjustRightInd w:val="0"/>
        <w:spacing w:before="120" w:line="336" w:lineRule="auto"/>
        <w:jc w:val="both"/>
        <w:rPr>
          <w:rFonts w:ascii="Calibri" w:eastAsia="Adobe Myungjo Std M" w:hAnsi="Calibri"/>
        </w:rPr>
      </w:pPr>
    </w:p>
    <w:p w:rsidR="00B24532" w:rsidRDefault="009803C0"/>
    <w:p w:rsidR="009803C0" w:rsidRDefault="009803C0"/>
    <w:sectPr w:rsidR="0098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C0"/>
    <w:rsid w:val="002007D8"/>
    <w:rsid w:val="009803C0"/>
    <w:rsid w:val="00B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9EFF6-9FEF-4784-9813-426724A3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3632</Characters>
  <Application>Microsoft Office Word</Application>
  <DocSecurity>0</DocSecurity>
  <Lines>30</Lines>
  <Paragraphs>8</Paragraphs>
  <ScaleCrop>false</ScaleCrop>
  <Company>Masarykova univerzita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1</cp:revision>
  <dcterms:created xsi:type="dcterms:W3CDTF">2016-11-03T10:09:00Z</dcterms:created>
  <dcterms:modified xsi:type="dcterms:W3CDTF">2016-11-03T10:15:00Z</dcterms:modified>
</cp:coreProperties>
</file>