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EC" w:rsidRPr="00B80F7E" w:rsidRDefault="00536DEC" w:rsidP="00B80F7E">
      <w:pPr>
        <w:tabs>
          <w:tab w:val="right" w:pos="9072"/>
        </w:tabs>
        <w:spacing w:after="0" w:line="360" w:lineRule="auto"/>
        <w:rPr>
          <w:rFonts w:ascii="Times New Roman" w:hAnsi="Times New Roman"/>
          <w:b/>
          <w:smallCaps/>
          <w:sz w:val="20"/>
          <w:szCs w:val="20"/>
          <w:lang w:val="es-ES"/>
        </w:rPr>
      </w:pPr>
      <w:r w:rsidRPr="00B80F7E">
        <w:rPr>
          <w:rFonts w:ascii="Times New Roman" w:hAnsi="Times New Roman"/>
          <w:b/>
          <w:smallCaps/>
          <w:sz w:val="20"/>
          <w:szCs w:val="20"/>
          <w:lang w:val="es-ES"/>
        </w:rPr>
        <w:t>Tema 5. Política y planificación lingüísticas: características básicas y su aplicación en áreas hispanohablantes</w:t>
      </w:r>
    </w:p>
    <w:p w:rsidR="00536DEC" w:rsidRDefault="00536DEC" w:rsidP="00B80F7E">
      <w:pPr>
        <w:tabs>
          <w:tab w:val="right" w:pos="9072"/>
        </w:tabs>
        <w:spacing w:after="0" w:line="360" w:lineRule="auto"/>
        <w:rPr>
          <w:rFonts w:ascii="Times New Roman" w:hAnsi="Times New Roman"/>
          <w:sz w:val="20"/>
          <w:szCs w:val="20"/>
          <w:lang w:val="es-ES"/>
        </w:rPr>
      </w:pPr>
    </w:p>
    <w:p w:rsidR="00536DEC" w:rsidRPr="00B80F7E" w:rsidRDefault="00536DEC" w:rsidP="00B80F7E">
      <w:pPr>
        <w:tabs>
          <w:tab w:val="right" w:pos="9072"/>
        </w:tabs>
        <w:spacing w:after="0" w:line="360" w:lineRule="auto"/>
        <w:rPr>
          <w:rFonts w:ascii="Times New Roman" w:hAnsi="Times New Roman"/>
          <w:sz w:val="20"/>
          <w:szCs w:val="20"/>
          <w:lang w:val="es-ES"/>
        </w:rPr>
      </w:pPr>
    </w:p>
    <w:p w:rsidR="00536DEC" w:rsidRDefault="00536DEC" w:rsidP="00B80F7E">
      <w:pPr>
        <w:tabs>
          <w:tab w:val="right" w:pos="9072"/>
        </w:tabs>
        <w:spacing w:after="0" w:line="360" w:lineRule="auto"/>
        <w:jc w:val="both"/>
        <w:rPr>
          <w:rFonts w:ascii="Times New Roman" w:hAnsi="Times New Roman"/>
          <w:b/>
          <w:sz w:val="20"/>
          <w:szCs w:val="20"/>
          <w:lang w:val="es-ES"/>
        </w:rPr>
        <w:sectPr w:rsidR="00536DEC" w:rsidSect="00BC4DCB">
          <w:footerReference w:type="default" r:id="rId7"/>
          <w:pgSz w:w="16838" w:h="11906" w:orient="landscape"/>
          <w:pgMar w:top="1417" w:right="1417" w:bottom="1417" w:left="1417" w:header="708" w:footer="708" w:gutter="0"/>
          <w:cols w:space="708"/>
          <w:docGrid w:linePitch="360"/>
        </w:sectPr>
      </w:pPr>
    </w:p>
    <w:p w:rsidR="00536DEC" w:rsidRDefault="00536DEC" w:rsidP="00B80F7E">
      <w:pPr>
        <w:tabs>
          <w:tab w:val="right" w:pos="9072"/>
        </w:tabs>
        <w:spacing w:after="0" w:line="360" w:lineRule="auto"/>
        <w:jc w:val="both"/>
        <w:rPr>
          <w:rFonts w:ascii="Times New Roman" w:hAnsi="Times New Roman"/>
          <w:b/>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sz w:val="20"/>
          <w:szCs w:val="20"/>
          <w:lang w:val="es-ES"/>
        </w:rPr>
        <w:t>Aparición:</w:t>
      </w:r>
      <w:r w:rsidRPr="00B80F7E">
        <w:rPr>
          <w:rFonts w:ascii="Times New Roman" w:hAnsi="Times New Roman"/>
          <w:sz w:val="20"/>
          <w:szCs w:val="20"/>
          <w:lang w:val="es-ES"/>
        </w:rPr>
        <w:t xml:space="preserve"> en los años 60 del s. XX; necesidad de disciplinas de carácter más externo y aplicado</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sz w:val="20"/>
          <w:szCs w:val="20"/>
          <w:lang w:val="es-ES"/>
        </w:rPr>
        <w:t>Factores no estrictamente lingüísticos</w:t>
      </w:r>
      <w:r w:rsidRPr="00B80F7E">
        <w:rPr>
          <w:rFonts w:ascii="Times New Roman" w:hAnsi="Times New Roman"/>
          <w:sz w:val="20"/>
          <w:szCs w:val="20"/>
          <w:lang w:val="es-ES"/>
        </w:rPr>
        <w:t xml:space="preserve"> y justificantes del desarrollo de esta lingüística externa:</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numPr>
          <w:ilvl w:val="0"/>
          <w:numId w:val="17"/>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el auge de los medios de comunicación de masas;</w:t>
      </w:r>
    </w:p>
    <w:p w:rsidR="00536DEC" w:rsidRPr="00B80F7E" w:rsidRDefault="00536DEC" w:rsidP="00B80F7E">
      <w:pPr>
        <w:numPr>
          <w:ilvl w:val="0"/>
          <w:numId w:val="17"/>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la situación sociopolítica (independencia colonial; interesantes objetos de estudio y campos de experimentación para esta y otras semejantes disciplinas);</w:t>
      </w:r>
    </w:p>
    <w:p w:rsidR="00536DEC" w:rsidRPr="00B80F7E" w:rsidRDefault="00536DEC" w:rsidP="00B80F7E">
      <w:pPr>
        <w:numPr>
          <w:ilvl w:val="0"/>
          <w:numId w:val="17"/>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el avance de las nuevas tecnologías;</w:t>
      </w:r>
    </w:p>
    <w:p w:rsidR="00536DEC" w:rsidRPr="00B80F7E" w:rsidRDefault="00536DEC" w:rsidP="00B80F7E">
      <w:pPr>
        <w:numPr>
          <w:ilvl w:val="0"/>
          <w:numId w:val="17"/>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las mejoras en los medios de recolección de datos con todo lo que ello representa para una lingüística basada en el tratamiento de corpus.</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sz w:val="20"/>
          <w:szCs w:val="20"/>
          <w:lang w:val="es-ES"/>
        </w:rPr>
        <w:t>Fundación</w:t>
      </w:r>
      <w:r w:rsidRPr="00B80F7E">
        <w:rPr>
          <w:rFonts w:ascii="Times New Roman" w:hAnsi="Times New Roman"/>
          <w:sz w:val="20"/>
          <w:szCs w:val="20"/>
          <w:lang w:val="es-ES"/>
        </w:rPr>
        <w:t>:</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 xml:space="preserve">E. Haugen („Planning for a Standard Language in Modern Norway“, </w:t>
      </w:r>
      <w:r w:rsidRPr="00B80F7E">
        <w:rPr>
          <w:rFonts w:ascii="Times New Roman" w:hAnsi="Times New Roman"/>
          <w:i/>
          <w:sz w:val="20"/>
          <w:szCs w:val="20"/>
          <w:lang w:val="es-ES"/>
        </w:rPr>
        <w:t>Anthropological Linguistics</w:t>
      </w:r>
      <w:r w:rsidRPr="00B80F7E">
        <w:rPr>
          <w:rFonts w:ascii="Times New Roman" w:hAnsi="Times New Roman"/>
          <w:sz w:val="20"/>
          <w:szCs w:val="20"/>
          <w:lang w:val="es-ES"/>
        </w:rPr>
        <w:t xml:space="preserve">, 1, 1959); („Linguistics and Language Planning“, in W. Bright (ed.), </w:t>
      </w:r>
      <w:r w:rsidRPr="00B80F7E">
        <w:rPr>
          <w:rFonts w:ascii="Times New Roman" w:hAnsi="Times New Roman"/>
          <w:i/>
          <w:sz w:val="20"/>
          <w:szCs w:val="20"/>
          <w:lang w:val="es-ES"/>
        </w:rPr>
        <w:t>Sociolinguistics</w:t>
      </w:r>
      <w:r w:rsidRPr="00B80F7E">
        <w:rPr>
          <w:rFonts w:ascii="Times New Roman" w:hAnsi="Times New Roman"/>
          <w:sz w:val="20"/>
          <w:szCs w:val="20"/>
          <w:lang w:val="es-ES"/>
        </w:rPr>
        <w:t xml:space="preserve">, The Hague, Mouton, 1966; versión española: P. Garwin a Y. Lastra (eds.), </w:t>
      </w:r>
      <w:r w:rsidRPr="00B80F7E">
        <w:rPr>
          <w:rFonts w:ascii="Times New Roman" w:hAnsi="Times New Roman"/>
          <w:i/>
          <w:sz w:val="20"/>
          <w:szCs w:val="20"/>
          <w:lang w:val="es-ES"/>
        </w:rPr>
        <w:t>Antología de estudios etnolingüísticos y sociolingüísticos</w:t>
      </w:r>
      <w:r w:rsidRPr="00B80F7E">
        <w:rPr>
          <w:rFonts w:ascii="Times New Roman" w:hAnsi="Times New Roman"/>
          <w:sz w:val="20"/>
          <w:szCs w:val="20"/>
          <w:lang w:val="es-ES"/>
        </w:rPr>
        <w:t>)</w:t>
      </w:r>
    </w:p>
    <w:p w:rsidR="00536DEC" w:rsidRDefault="00536DEC" w:rsidP="00B80F7E">
      <w:pPr>
        <w:tabs>
          <w:tab w:val="right" w:pos="9072"/>
        </w:tabs>
        <w:spacing w:after="0" w:line="360" w:lineRule="auto"/>
        <w:jc w:val="both"/>
        <w:rPr>
          <w:rFonts w:ascii="Times New Roman" w:hAnsi="Times New Roman"/>
          <w:sz w:val="20"/>
          <w:szCs w:val="20"/>
          <w:lang w:val="es-ES"/>
        </w:rPr>
      </w:pPr>
    </w:p>
    <w:p w:rsidR="00536DEC" w:rsidRDefault="00536DEC" w:rsidP="00B80F7E">
      <w:pPr>
        <w:tabs>
          <w:tab w:val="right" w:pos="9072"/>
        </w:tabs>
        <w:spacing w:after="0" w:line="360" w:lineRule="auto"/>
        <w:jc w:val="both"/>
        <w:rPr>
          <w:rFonts w:ascii="Times New Roman" w:hAnsi="Times New Roman"/>
          <w:sz w:val="20"/>
          <w:szCs w:val="20"/>
          <w:lang w:val="es-ES"/>
        </w:rPr>
      </w:pPr>
    </w:p>
    <w:p w:rsidR="00536DEC" w:rsidRDefault="00536DEC" w:rsidP="00B80F7E">
      <w:pPr>
        <w:tabs>
          <w:tab w:val="right" w:pos="9072"/>
        </w:tabs>
        <w:spacing w:after="0" w:line="360" w:lineRule="auto"/>
        <w:jc w:val="both"/>
        <w:rPr>
          <w:rFonts w:ascii="Times New Roman" w:hAnsi="Times New Roman"/>
          <w:b/>
          <w:sz w:val="20"/>
          <w:szCs w:val="20"/>
          <w:lang w:val="es-ES"/>
        </w:rPr>
      </w:pPr>
      <w:r w:rsidRPr="00B80F7E">
        <w:rPr>
          <w:rFonts w:ascii="Times New Roman" w:hAnsi="Times New Roman"/>
          <w:b/>
          <w:sz w:val="20"/>
          <w:szCs w:val="20"/>
          <w:lang w:val="es-ES"/>
        </w:rPr>
        <w:t>Definición y delimitación de la disciplina:</w:t>
      </w:r>
    </w:p>
    <w:p w:rsidR="00536DEC" w:rsidRPr="00B80F7E" w:rsidRDefault="00536DEC" w:rsidP="00B80F7E">
      <w:pPr>
        <w:tabs>
          <w:tab w:val="right" w:pos="9072"/>
        </w:tabs>
        <w:spacing w:after="0" w:line="360" w:lineRule="auto"/>
        <w:jc w:val="both"/>
        <w:rPr>
          <w:rFonts w:ascii="Times New Roman" w:hAnsi="Times New Roman"/>
          <w:b/>
          <w:sz w:val="20"/>
          <w:szCs w:val="20"/>
          <w:lang w:val="es-ES"/>
        </w:rPr>
      </w:pPr>
    </w:p>
    <w:p w:rsidR="00536DEC" w:rsidRPr="00B80F7E" w:rsidRDefault="00536DEC" w:rsidP="00B80F7E">
      <w:pPr>
        <w:numPr>
          <w:ilvl w:val="0"/>
          <w:numId w:val="18"/>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La política y la planificación lingüísticas es la “actividad de preparar un diccionario, ortografía y gramática normativos para guiar a los escritores y hablantes de una comunidad de habla no homogénea” (E. Haugen).</w:t>
      </w:r>
    </w:p>
    <w:p w:rsidR="00536DEC" w:rsidRPr="00B80F7E" w:rsidRDefault="00536DEC" w:rsidP="00B80F7E">
      <w:pPr>
        <w:numPr>
          <w:ilvl w:val="0"/>
          <w:numId w:val="18"/>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La política y la planificación lingüísticas es el conjunto de acciones políticas, sociales, culturales, académicas, etc., con que se ejecuta un proceso de revisión, reforma y normalización de todos los planos estructurales de una lengua, incluida la ortografía considerada canónica, con el fin de dotar a la lengua en cuestión de todos los recursos terminológicos y expresivos para seguir el avance científico y tecnológico del momento respectivo y cubrir todas las necesidades comunicativas de los individuos en el seno de su comunidad.</w:t>
      </w:r>
    </w:p>
    <w:p w:rsidR="00536DEC" w:rsidRPr="00B80F7E" w:rsidRDefault="00536DEC" w:rsidP="00B80F7E">
      <w:pPr>
        <w:numPr>
          <w:ilvl w:val="0"/>
          <w:numId w:val="18"/>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“La política lingüística puede afirmar y promover una alteridad histórica determinada y suele pretender gobernar, directa o indirectamente, el comportamiento lingüístico de una comunidad desde una consciente planificación idiomática” (E. Coseriu).</w:t>
      </w:r>
    </w:p>
    <w:p w:rsidR="00536DEC" w:rsidRPr="00B80F7E" w:rsidRDefault="00536DEC" w:rsidP="00B80F7E">
      <w:pPr>
        <w:numPr>
          <w:ilvl w:val="0"/>
          <w:numId w:val="18"/>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La política y la planificación lingüísticas es el “empeño sistemático y explícito por resolver problemas de la lengua y por lograr objetivos con ellos relacionados mediante una intervención institucionalmente organizada en el uso de las lenguas” (D. Christian).</w:t>
      </w:r>
    </w:p>
    <w:p w:rsidR="00536DEC" w:rsidRDefault="00536DEC" w:rsidP="00B80F7E">
      <w:pPr>
        <w:tabs>
          <w:tab w:val="right" w:pos="9072"/>
        </w:tabs>
        <w:spacing w:after="0" w:line="360" w:lineRule="auto"/>
        <w:jc w:val="both"/>
        <w:rPr>
          <w:rFonts w:ascii="Times New Roman" w:hAnsi="Times New Roman"/>
          <w:b/>
          <w:sz w:val="20"/>
          <w:szCs w:val="20"/>
          <w:lang w:val="es-ES"/>
        </w:rPr>
        <w:sectPr w:rsidR="00536DEC" w:rsidSect="00B80F7E">
          <w:type w:val="continuous"/>
          <w:pgSz w:w="16838" w:h="11906" w:orient="landscape"/>
          <w:pgMar w:top="1417" w:right="1417" w:bottom="1417" w:left="1417" w:header="708" w:footer="708" w:gutter="0"/>
          <w:cols w:num="2" w:space="709"/>
          <w:docGrid w:linePitch="360"/>
        </w:sectPr>
      </w:pPr>
    </w:p>
    <w:p w:rsidR="00536DEC" w:rsidRPr="00B80F7E" w:rsidRDefault="00536DEC" w:rsidP="00B80F7E">
      <w:pPr>
        <w:tabs>
          <w:tab w:val="right" w:pos="9072"/>
        </w:tabs>
        <w:spacing w:after="0" w:line="360" w:lineRule="auto"/>
        <w:jc w:val="both"/>
        <w:rPr>
          <w:rFonts w:ascii="Times New Roman" w:hAnsi="Times New Roman"/>
          <w:b/>
          <w:sz w:val="20"/>
          <w:szCs w:val="20"/>
          <w:lang w:val="es-ES"/>
        </w:rPr>
      </w:pPr>
      <w:r w:rsidRPr="00B80F7E">
        <w:rPr>
          <w:rFonts w:ascii="Times New Roman" w:hAnsi="Times New Roman"/>
          <w:b/>
          <w:sz w:val="20"/>
          <w:szCs w:val="20"/>
          <w:lang w:val="es-ES"/>
        </w:rPr>
        <w:t>Etapas de planificación:</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i/>
          <w:sz w:val="20"/>
          <w:szCs w:val="20"/>
          <w:lang w:val="es-ES"/>
        </w:rPr>
        <w:t>Primera propuesta:</w:t>
      </w:r>
      <w:r w:rsidRPr="00B80F7E">
        <w:rPr>
          <w:rFonts w:ascii="Times New Roman" w:hAnsi="Times New Roman"/>
          <w:sz w:val="20"/>
          <w:szCs w:val="20"/>
          <w:lang w:val="es-ES"/>
        </w:rPr>
        <w:t xml:space="preserve"> Haugen 1966</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536DEC" w:rsidRPr="00B80F7E" w:rsidTr="00294E9D">
        <w:tc>
          <w:tcPr>
            <w:tcW w:w="3070"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Norma </w:t>
            </w: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Función </w:t>
            </w:r>
          </w:p>
        </w:tc>
      </w:tr>
      <w:tr w:rsidR="00536DEC" w:rsidRPr="00B80F7E" w:rsidTr="00294E9D">
        <w:tc>
          <w:tcPr>
            <w:tcW w:w="3070"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Sociedad</w:t>
            </w: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1 selección</w:t>
            </w: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3 implantación</w:t>
            </w:r>
          </w:p>
        </w:tc>
      </w:tr>
      <w:tr w:rsidR="00536DEC" w:rsidRPr="00B80F7E" w:rsidTr="00294E9D">
        <w:tc>
          <w:tcPr>
            <w:tcW w:w="3070"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Lengua </w:t>
            </w: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2 codificación</w:t>
            </w: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4 elaboración</w:t>
            </w:r>
          </w:p>
        </w:tc>
      </w:tr>
    </w:tbl>
    <w:p w:rsidR="00536DEC"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Default="00536DEC" w:rsidP="00B80F7E">
      <w:pPr>
        <w:numPr>
          <w:ilvl w:val="0"/>
          <w:numId w:val="19"/>
        </w:numPr>
        <w:tabs>
          <w:tab w:val="right" w:pos="9072"/>
        </w:tabs>
        <w:spacing w:after="0" w:line="360" w:lineRule="auto"/>
        <w:jc w:val="both"/>
        <w:rPr>
          <w:rFonts w:ascii="Times New Roman" w:hAnsi="Times New Roman"/>
          <w:sz w:val="20"/>
          <w:szCs w:val="20"/>
          <w:lang w:val="es-ES"/>
        </w:rPr>
        <w:sectPr w:rsidR="00536DEC" w:rsidSect="00B80F7E">
          <w:type w:val="continuous"/>
          <w:pgSz w:w="16838" w:h="11906" w:orient="landscape"/>
          <w:pgMar w:top="1417" w:right="1417" w:bottom="1417" w:left="1417" w:header="708" w:footer="708" w:gutter="0"/>
          <w:cols w:space="708"/>
          <w:docGrid w:linePitch="360"/>
        </w:sectPr>
      </w:pPr>
    </w:p>
    <w:p w:rsidR="00536DEC" w:rsidRPr="00B80F7E" w:rsidRDefault="00536DEC" w:rsidP="00B80F7E">
      <w:pPr>
        <w:numPr>
          <w:ilvl w:val="0"/>
          <w:numId w:val="19"/>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selección: elección de una de las muchas modalidades de una lengua, la más prestigiosa, para promover su uso desde órganos oficiales;</w:t>
      </w:r>
    </w:p>
    <w:p w:rsidR="00536DEC" w:rsidRPr="00B80F7E" w:rsidRDefault="00536DEC" w:rsidP="00B80F7E">
      <w:pPr>
        <w:numPr>
          <w:ilvl w:val="0"/>
          <w:numId w:val="19"/>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codificación: redacción de obras de consulta como gramáticas, ortografías, diccionarios, etc., sobre cualquier lengua;</w:t>
      </w:r>
    </w:p>
    <w:p w:rsidR="00536DEC" w:rsidRPr="00B80F7E" w:rsidRDefault="00536DEC" w:rsidP="00B80F7E">
      <w:pPr>
        <w:numPr>
          <w:ilvl w:val="0"/>
          <w:numId w:val="19"/>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implantación: difusión en todos los niveles educativos de un sistema lingüístico;</w:t>
      </w:r>
    </w:p>
    <w:p w:rsidR="00536DEC" w:rsidRPr="00B80F7E" w:rsidRDefault="00536DEC" w:rsidP="00B80F7E">
      <w:pPr>
        <w:numPr>
          <w:ilvl w:val="0"/>
          <w:numId w:val="19"/>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elaboración: desarrollo funcional de una modalidad y aspectos como la modernización de su terminología o su desarrollo estilístico.</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Planificadas y ejecutadas por organismos de carácter institucional, el orden no es casual.</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sz w:val="20"/>
          <w:szCs w:val="20"/>
          <w:lang w:val="es-ES"/>
        </w:rPr>
        <w:t>Crítica y propuestas de mejora:</w:t>
      </w:r>
      <w:r w:rsidRPr="00B80F7E">
        <w:rPr>
          <w:rFonts w:ascii="Times New Roman" w:hAnsi="Times New Roman"/>
          <w:sz w:val="20"/>
          <w:szCs w:val="20"/>
          <w:lang w:val="es-ES"/>
        </w:rPr>
        <w:t xml:space="preserve"> </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numPr>
          <w:ilvl w:val="0"/>
          <w:numId w:val="20"/>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 xml:space="preserve">diferenciar las labores que en teoría debían ser objeto de lingüistas de aquellas otras más propias de políticos; </w:t>
      </w:r>
    </w:p>
    <w:p w:rsidR="00536DEC" w:rsidRPr="00B80F7E" w:rsidRDefault="00536DEC" w:rsidP="00B80F7E">
      <w:pPr>
        <w:numPr>
          <w:ilvl w:val="0"/>
          <w:numId w:val="20"/>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no se han tomado en cuenta todos los aspectos de la política y planificación lingüísticas posibles.</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sz w:val="20"/>
          <w:szCs w:val="20"/>
          <w:lang w:val="es-ES"/>
        </w:rPr>
        <w:t>Ad1.:</w:t>
      </w:r>
      <w:r w:rsidRPr="00B80F7E">
        <w:rPr>
          <w:rFonts w:ascii="Times New Roman" w:hAnsi="Times New Roman"/>
          <w:sz w:val="20"/>
          <w:szCs w:val="20"/>
          <w:lang w:val="es-ES"/>
        </w:rPr>
        <w:t xml:space="preserve"> diferenciar una </w:t>
      </w:r>
      <w:r w:rsidRPr="00B80F7E">
        <w:rPr>
          <w:rFonts w:ascii="Times New Roman" w:hAnsi="Times New Roman"/>
          <w:i/>
          <w:sz w:val="20"/>
          <w:szCs w:val="20"/>
          <w:lang w:val="es-ES"/>
        </w:rPr>
        <w:t>planificación de corpus</w:t>
      </w:r>
      <w:r w:rsidRPr="00B80F7E">
        <w:rPr>
          <w:rFonts w:ascii="Times New Roman" w:hAnsi="Times New Roman"/>
          <w:sz w:val="20"/>
          <w:szCs w:val="20"/>
          <w:lang w:val="es-ES"/>
        </w:rPr>
        <w:t xml:space="preserve"> de una </w:t>
      </w:r>
      <w:r w:rsidRPr="00B80F7E">
        <w:rPr>
          <w:rFonts w:ascii="Times New Roman" w:hAnsi="Times New Roman"/>
          <w:i/>
          <w:sz w:val="20"/>
          <w:szCs w:val="20"/>
          <w:lang w:val="es-ES"/>
        </w:rPr>
        <w:t>planificación de estatus</w:t>
      </w:r>
      <w:r w:rsidRPr="00B80F7E">
        <w:rPr>
          <w:rFonts w:ascii="Times New Roman" w:hAnsi="Times New Roman"/>
          <w:sz w:val="20"/>
          <w:szCs w:val="20"/>
          <w:lang w:val="es-ES"/>
        </w:rPr>
        <w:t xml:space="preserve"> </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tabs>
          <w:tab w:val="right" w:pos="9072"/>
        </w:tabs>
        <w:spacing w:after="0" w:line="360" w:lineRule="auto"/>
        <w:ind w:left="720" w:hanging="720"/>
        <w:jc w:val="both"/>
        <w:rPr>
          <w:rFonts w:ascii="Times New Roman" w:hAnsi="Times New Roman"/>
          <w:sz w:val="20"/>
          <w:szCs w:val="20"/>
          <w:lang w:val="es-ES"/>
        </w:rPr>
      </w:pPr>
      <w:r w:rsidRPr="00B80F7E">
        <w:rPr>
          <w:rFonts w:ascii="Times New Roman" w:hAnsi="Times New Roman"/>
          <w:i/>
          <w:sz w:val="20"/>
          <w:szCs w:val="20"/>
          <w:lang w:val="es-ES"/>
        </w:rPr>
        <w:t>Planificación de corpus</w:t>
      </w:r>
      <w:r w:rsidRPr="00B80F7E">
        <w:rPr>
          <w:rFonts w:ascii="Times New Roman" w:hAnsi="Times New Roman"/>
          <w:sz w:val="20"/>
          <w:szCs w:val="20"/>
          <w:lang w:val="es-ES"/>
        </w:rPr>
        <w:t>: lingüistas; conservación de la pureza de un idioma, la regularización de usos variables, el favorecimiento de la mezcla de variedades o el aumento o restricción de los recursos lingüísticos.</w:t>
      </w:r>
    </w:p>
    <w:p w:rsidR="00536DEC" w:rsidRPr="00B80F7E" w:rsidRDefault="00536DEC" w:rsidP="00B80F7E">
      <w:pPr>
        <w:tabs>
          <w:tab w:val="right" w:pos="9072"/>
        </w:tabs>
        <w:spacing w:after="0" w:line="360" w:lineRule="auto"/>
        <w:ind w:left="720" w:hanging="720"/>
        <w:jc w:val="both"/>
        <w:rPr>
          <w:rFonts w:ascii="Times New Roman" w:hAnsi="Times New Roman"/>
          <w:sz w:val="20"/>
          <w:szCs w:val="20"/>
          <w:lang w:val="es-ES"/>
        </w:rPr>
      </w:pPr>
      <w:r w:rsidRPr="00B80F7E">
        <w:rPr>
          <w:rFonts w:ascii="Times New Roman" w:hAnsi="Times New Roman"/>
          <w:i/>
          <w:sz w:val="20"/>
          <w:szCs w:val="20"/>
          <w:lang w:val="es-ES"/>
        </w:rPr>
        <w:t>Planificación de estatus</w:t>
      </w:r>
      <w:r w:rsidRPr="00B80F7E">
        <w:rPr>
          <w:rFonts w:ascii="Times New Roman" w:hAnsi="Times New Roman"/>
          <w:sz w:val="20"/>
          <w:szCs w:val="20"/>
          <w:lang w:val="es-ES"/>
        </w:rPr>
        <w:t>: sociólogos, ideólogos y políticos; favorecimiento del aumento o disminución del número de hablantes de una lengua, el prestigio o desprestigio de determinadas variedades lingüísticas o la creación de códigos con fines específicos</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sz w:val="20"/>
          <w:szCs w:val="20"/>
          <w:lang w:val="es-ES"/>
        </w:rPr>
        <w:t>Ad2.:</w:t>
      </w:r>
      <w:r w:rsidRPr="00B80F7E">
        <w:rPr>
          <w:rFonts w:ascii="Times New Roman" w:hAnsi="Times New Roman"/>
          <w:sz w:val="20"/>
          <w:szCs w:val="20"/>
          <w:lang w:val="es-ES"/>
        </w:rPr>
        <w:t xml:space="preserve"> aportaciones al </w:t>
      </w:r>
      <w:r w:rsidRPr="00B80F7E">
        <w:rPr>
          <w:rFonts w:ascii="Times New Roman" w:hAnsi="Times New Roman"/>
          <w:b/>
          <w:i/>
          <w:sz w:val="20"/>
          <w:szCs w:val="20"/>
          <w:lang w:val="es-ES"/>
        </w:rPr>
        <w:t>cultivo</w:t>
      </w:r>
      <w:r w:rsidRPr="00B80F7E">
        <w:rPr>
          <w:rFonts w:ascii="Times New Roman" w:hAnsi="Times New Roman"/>
          <w:sz w:val="20"/>
          <w:szCs w:val="20"/>
          <w:lang w:val="es-ES"/>
        </w:rPr>
        <w:t xml:space="preserve"> (fomento del uso de una variedad en individuos con capacidad para elevar su prestigio en virtud de su peso en la comunidad de que se trate); </w:t>
      </w:r>
      <w:r w:rsidRPr="00B80F7E">
        <w:rPr>
          <w:rFonts w:ascii="Times New Roman" w:hAnsi="Times New Roman"/>
          <w:b/>
          <w:i/>
          <w:sz w:val="20"/>
          <w:szCs w:val="20"/>
          <w:lang w:val="es-ES"/>
        </w:rPr>
        <w:t>evaluación</w:t>
      </w:r>
      <w:r w:rsidRPr="00B80F7E">
        <w:rPr>
          <w:rFonts w:ascii="Times New Roman" w:hAnsi="Times New Roman"/>
          <w:sz w:val="20"/>
          <w:szCs w:val="20"/>
          <w:lang w:val="es-ES"/>
        </w:rPr>
        <w:t xml:space="preserve"> (seguimiento de la planificación realizada); </w:t>
      </w:r>
      <w:r w:rsidRPr="00B80F7E">
        <w:rPr>
          <w:rFonts w:ascii="Times New Roman" w:hAnsi="Times New Roman"/>
          <w:b/>
          <w:i/>
          <w:sz w:val="20"/>
          <w:szCs w:val="20"/>
          <w:lang w:val="es-ES"/>
        </w:rPr>
        <w:t>orientación</w:t>
      </w:r>
      <w:r w:rsidRPr="00B80F7E">
        <w:rPr>
          <w:rFonts w:ascii="Times New Roman" w:hAnsi="Times New Roman"/>
          <w:sz w:val="20"/>
          <w:szCs w:val="20"/>
          <w:lang w:val="es-ES"/>
        </w:rPr>
        <w:t xml:space="preserve"> (creación, difusión y sustitución de lenguas); =&gt; la nómina de decisiones de naturaleza política con repercusión en el lenguaje es amplia y no constituye un inventario cerrado.</w:t>
      </w:r>
    </w:p>
    <w:p w:rsidR="00536DEC" w:rsidRDefault="00536DEC" w:rsidP="00B80F7E">
      <w:pPr>
        <w:tabs>
          <w:tab w:val="right" w:pos="9072"/>
        </w:tabs>
        <w:spacing w:after="0" w:line="360" w:lineRule="auto"/>
        <w:jc w:val="both"/>
        <w:rPr>
          <w:rFonts w:ascii="Times New Roman" w:hAnsi="Times New Roman"/>
          <w:sz w:val="20"/>
          <w:szCs w:val="20"/>
          <w:lang w:val="es-ES"/>
        </w:rPr>
        <w:sectPr w:rsidR="00536DEC" w:rsidSect="00B80F7E">
          <w:type w:val="continuous"/>
          <w:pgSz w:w="16838" w:h="11906" w:orient="landscape"/>
          <w:pgMar w:top="1417" w:right="1417" w:bottom="1417" w:left="1417" w:header="708" w:footer="708" w:gutter="0"/>
          <w:cols w:num="2" w:space="709"/>
          <w:docGrid w:linePitch="360"/>
        </w:sectPr>
      </w:pPr>
    </w:p>
    <w:p w:rsidR="00536DEC" w:rsidRPr="00B80F7E" w:rsidRDefault="00536DEC" w:rsidP="00B80F7E">
      <w:pPr>
        <w:tabs>
          <w:tab w:val="right" w:pos="9072"/>
        </w:tabs>
        <w:spacing w:after="0" w:line="360" w:lineRule="auto"/>
        <w:jc w:val="both"/>
        <w:rPr>
          <w:rFonts w:ascii="Times New Roman" w:hAnsi="Times New Roman"/>
          <w:sz w:val="20"/>
          <w:szCs w:val="20"/>
          <w:lang w:val="en-US"/>
        </w:rPr>
      </w:pPr>
      <w:r w:rsidRPr="00B80F7E">
        <w:rPr>
          <w:rFonts w:ascii="Times New Roman" w:hAnsi="Times New Roman"/>
          <w:b/>
          <w:i/>
          <w:sz w:val="20"/>
          <w:szCs w:val="20"/>
          <w:lang w:val="en-US"/>
        </w:rPr>
        <w:t>Segunda propuesta</w:t>
      </w:r>
      <w:r w:rsidRPr="00B80F7E">
        <w:rPr>
          <w:rFonts w:ascii="Times New Roman" w:hAnsi="Times New Roman"/>
          <w:sz w:val="20"/>
          <w:szCs w:val="20"/>
          <w:lang w:val="en-US"/>
        </w:rPr>
        <w:t xml:space="preserve">: E. Haugen (“The Implementation of Corpus Planning: Theory and Practice”, in J. Cobarrubias aj. Fishman (eds.), </w:t>
      </w:r>
      <w:r w:rsidRPr="00B80F7E">
        <w:rPr>
          <w:rFonts w:ascii="Times New Roman" w:hAnsi="Times New Roman"/>
          <w:i/>
          <w:sz w:val="20"/>
          <w:szCs w:val="20"/>
          <w:lang w:val="en-US"/>
        </w:rPr>
        <w:t>Progress in Language Planning</w:t>
      </w:r>
      <w:r w:rsidRPr="00B80F7E">
        <w:rPr>
          <w:rFonts w:ascii="Times New Roman" w:hAnsi="Times New Roman"/>
          <w:sz w:val="20"/>
          <w:szCs w:val="20"/>
          <w:lang w:val="en-US"/>
        </w:rPr>
        <w:t>, The Hague, Mouton, 1983).</w:t>
      </w:r>
    </w:p>
    <w:p w:rsidR="00536DEC" w:rsidRPr="00B80F7E" w:rsidRDefault="00536DEC" w:rsidP="00B80F7E">
      <w:pPr>
        <w:tabs>
          <w:tab w:val="right" w:pos="9072"/>
        </w:tabs>
        <w:spacing w:after="0" w:line="360" w:lineRule="auto"/>
        <w:jc w:val="both"/>
        <w:rPr>
          <w:rFonts w:ascii="Times New Roman" w:hAnsi="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536DEC" w:rsidRPr="00B80F7E" w:rsidTr="00B80F7E">
        <w:tc>
          <w:tcPr>
            <w:tcW w:w="3070" w:type="dxa"/>
          </w:tcPr>
          <w:p w:rsidR="00536DEC" w:rsidRPr="00B80F7E" w:rsidRDefault="00536DEC" w:rsidP="00B80F7E">
            <w:pPr>
              <w:tabs>
                <w:tab w:val="right" w:pos="9072"/>
              </w:tabs>
              <w:spacing w:after="0" w:line="240" w:lineRule="auto"/>
              <w:jc w:val="both"/>
              <w:rPr>
                <w:rFonts w:ascii="Times New Roman" w:hAnsi="Times New Roman"/>
                <w:sz w:val="20"/>
                <w:szCs w:val="20"/>
                <w:lang w:val="en-US"/>
              </w:rPr>
            </w:pP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Forma (política lingüística)</w:t>
            </w: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Función (cultivo de la lengua)</w:t>
            </w:r>
          </w:p>
        </w:tc>
      </w:tr>
      <w:tr w:rsidR="00536DEC" w:rsidRPr="00B80F7E" w:rsidTr="00B80F7E">
        <w:tc>
          <w:tcPr>
            <w:tcW w:w="3070"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Sociedad (planificación de estatus)</w:t>
            </w: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1 </w:t>
            </w:r>
            <w:r w:rsidRPr="00B80F7E">
              <w:rPr>
                <w:rFonts w:ascii="Times New Roman" w:hAnsi="Times New Roman"/>
                <w:i/>
                <w:sz w:val="20"/>
                <w:szCs w:val="20"/>
                <w:lang w:val="es-ES"/>
              </w:rPr>
              <w:t>selección</w:t>
            </w:r>
            <w:r w:rsidRPr="00B80F7E">
              <w:rPr>
                <w:rFonts w:ascii="Times New Roman" w:hAnsi="Times New Roman"/>
                <w:sz w:val="20"/>
                <w:szCs w:val="20"/>
                <w:lang w:val="es-ES"/>
              </w:rPr>
              <w:t xml:space="preserve"> (proceso de decisión)</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A) identificación del problema</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B) localización de la norma</w:t>
            </w:r>
          </w:p>
        </w:tc>
        <w:tc>
          <w:tcPr>
            <w:tcW w:w="3071" w:type="dxa"/>
          </w:tcPr>
          <w:p w:rsidR="00536DEC"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3 </w:t>
            </w:r>
            <w:r w:rsidRPr="00B80F7E">
              <w:rPr>
                <w:rFonts w:ascii="Times New Roman" w:hAnsi="Times New Roman"/>
                <w:i/>
                <w:sz w:val="20"/>
                <w:szCs w:val="20"/>
                <w:lang w:val="es-ES"/>
              </w:rPr>
              <w:t>implantación</w:t>
            </w:r>
            <w:r w:rsidRPr="00B80F7E">
              <w:rPr>
                <w:rFonts w:ascii="Times New Roman" w:hAnsi="Times New Roman"/>
                <w:sz w:val="20"/>
                <w:szCs w:val="20"/>
                <w:lang w:val="es-ES"/>
              </w:rPr>
              <w:t xml:space="preserve"> (difusión educativa)</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A) procedimientos correctores</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B) evaluación</w:t>
            </w:r>
          </w:p>
        </w:tc>
      </w:tr>
      <w:tr w:rsidR="00536DEC" w:rsidRPr="00B80F7E" w:rsidTr="00B80F7E">
        <w:tc>
          <w:tcPr>
            <w:tcW w:w="3070"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Lengua (planificación de corpus)</w:t>
            </w:r>
          </w:p>
        </w:tc>
        <w:tc>
          <w:tcPr>
            <w:tcW w:w="3071" w:type="dxa"/>
          </w:tcPr>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2 </w:t>
            </w:r>
            <w:r w:rsidRPr="00B80F7E">
              <w:rPr>
                <w:rFonts w:ascii="Times New Roman" w:hAnsi="Times New Roman"/>
                <w:i/>
                <w:sz w:val="20"/>
                <w:szCs w:val="20"/>
                <w:lang w:val="es-ES"/>
              </w:rPr>
              <w:t>codificación</w:t>
            </w:r>
            <w:r w:rsidRPr="00B80F7E">
              <w:rPr>
                <w:rFonts w:ascii="Times New Roman" w:hAnsi="Times New Roman"/>
                <w:sz w:val="20"/>
                <w:szCs w:val="20"/>
                <w:lang w:val="es-ES"/>
              </w:rPr>
              <w:t xml:space="preserve"> </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(proceso de estandarización</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A) preparación de la ortografía</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B) preparación de la gramática</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C) preparación del léxico</w:t>
            </w:r>
          </w:p>
        </w:tc>
        <w:tc>
          <w:tcPr>
            <w:tcW w:w="3071" w:type="dxa"/>
          </w:tcPr>
          <w:p w:rsidR="00536DEC"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4 </w:t>
            </w:r>
            <w:r w:rsidRPr="00B80F7E">
              <w:rPr>
                <w:rFonts w:ascii="Times New Roman" w:hAnsi="Times New Roman"/>
                <w:i/>
                <w:sz w:val="20"/>
                <w:szCs w:val="20"/>
                <w:lang w:val="es-ES"/>
              </w:rPr>
              <w:t>elaboración</w:t>
            </w:r>
            <w:r w:rsidRPr="00B80F7E">
              <w:rPr>
                <w:rFonts w:ascii="Times New Roman" w:hAnsi="Times New Roman"/>
                <w:sz w:val="20"/>
                <w:szCs w:val="20"/>
                <w:lang w:val="es-ES"/>
              </w:rPr>
              <w:t xml:space="preserve"> (desarrollo funcional)</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A) modernización de la terminología</w:t>
            </w:r>
          </w:p>
          <w:p w:rsidR="00536DEC" w:rsidRPr="00B80F7E" w:rsidRDefault="00536DEC" w:rsidP="00B80F7E">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B) desarrollo estilístico</w:t>
            </w:r>
          </w:p>
        </w:tc>
      </w:tr>
    </w:tbl>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Default="00536DEC" w:rsidP="00B80F7E">
      <w:pPr>
        <w:tabs>
          <w:tab w:val="right" w:pos="9072"/>
        </w:tabs>
        <w:spacing w:after="0" w:line="360" w:lineRule="auto"/>
        <w:jc w:val="both"/>
        <w:rPr>
          <w:rFonts w:ascii="Times New Roman" w:hAnsi="Times New Roman"/>
          <w:b/>
          <w:sz w:val="20"/>
          <w:szCs w:val="20"/>
          <w:lang w:val="es-ES"/>
        </w:rPr>
      </w:pPr>
    </w:p>
    <w:p w:rsidR="00536DEC" w:rsidRPr="00B80F7E" w:rsidRDefault="00536DEC" w:rsidP="00B80F7E">
      <w:pPr>
        <w:tabs>
          <w:tab w:val="right" w:pos="9072"/>
        </w:tabs>
        <w:spacing w:after="0" w:line="360" w:lineRule="auto"/>
        <w:jc w:val="both"/>
        <w:rPr>
          <w:rFonts w:ascii="Times New Roman" w:hAnsi="Times New Roman"/>
          <w:b/>
          <w:sz w:val="20"/>
          <w:szCs w:val="20"/>
          <w:lang w:val="es-ES"/>
        </w:rPr>
      </w:pPr>
    </w:p>
    <w:p w:rsidR="00536DEC" w:rsidRDefault="00536DEC" w:rsidP="00B80F7E">
      <w:pPr>
        <w:tabs>
          <w:tab w:val="right" w:pos="9072"/>
        </w:tabs>
        <w:spacing w:after="0" w:line="360" w:lineRule="auto"/>
        <w:jc w:val="both"/>
        <w:rPr>
          <w:rFonts w:ascii="Times New Roman" w:hAnsi="Times New Roman"/>
          <w:b/>
          <w:sz w:val="20"/>
          <w:szCs w:val="20"/>
          <w:lang w:val="es-ES"/>
        </w:rPr>
        <w:sectPr w:rsidR="00536DEC" w:rsidSect="00B80F7E">
          <w:type w:val="continuous"/>
          <w:pgSz w:w="16838" w:h="11906" w:orient="landscape"/>
          <w:pgMar w:top="1417" w:right="1417" w:bottom="1417" w:left="1417" w:header="708" w:footer="708" w:gutter="0"/>
          <w:cols w:space="708"/>
          <w:docGrid w:linePitch="360"/>
        </w:sectPr>
      </w:pPr>
    </w:p>
    <w:p w:rsidR="00536DEC" w:rsidRPr="00B80F7E" w:rsidRDefault="00536DEC" w:rsidP="00B80F7E">
      <w:pPr>
        <w:tabs>
          <w:tab w:val="right" w:pos="9072"/>
        </w:tabs>
        <w:spacing w:after="0" w:line="360" w:lineRule="auto"/>
        <w:jc w:val="both"/>
        <w:rPr>
          <w:rFonts w:ascii="Times New Roman" w:hAnsi="Times New Roman"/>
          <w:b/>
          <w:sz w:val="20"/>
          <w:szCs w:val="20"/>
          <w:lang w:val="es-ES"/>
        </w:rPr>
      </w:pPr>
      <w:r w:rsidRPr="00B80F7E">
        <w:rPr>
          <w:rFonts w:ascii="Times New Roman" w:hAnsi="Times New Roman"/>
          <w:b/>
          <w:sz w:val="20"/>
          <w:szCs w:val="20"/>
          <w:lang w:val="es-ES"/>
        </w:rPr>
        <w:t>Los derechos lingüísticos</w:t>
      </w:r>
    </w:p>
    <w:p w:rsidR="00536DEC" w:rsidRPr="00B80F7E" w:rsidRDefault="00536DEC" w:rsidP="00B80F7E">
      <w:pPr>
        <w:pStyle w:val="ListParagraph"/>
        <w:numPr>
          <w:ilvl w:val="0"/>
          <w:numId w:val="12"/>
        </w:numPr>
        <w:tabs>
          <w:tab w:val="right" w:pos="720"/>
        </w:tabs>
        <w:spacing w:after="0" w:line="360" w:lineRule="auto"/>
        <w:jc w:val="both"/>
        <w:rPr>
          <w:rFonts w:ascii="Times New Roman" w:hAnsi="Times New Roman"/>
          <w:sz w:val="20"/>
          <w:szCs w:val="20"/>
          <w:lang w:val="en-US"/>
        </w:rPr>
      </w:pPr>
      <w:r w:rsidRPr="00B80F7E">
        <w:rPr>
          <w:rFonts w:ascii="Times New Roman" w:hAnsi="Times New Roman"/>
          <w:sz w:val="20"/>
          <w:szCs w:val="20"/>
          <w:lang w:val="en-US"/>
        </w:rPr>
        <w:t xml:space="preserve"> […] at an </w:t>
      </w:r>
      <w:r w:rsidRPr="00B80F7E">
        <w:rPr>
          <w:rFonts w:ascii="Times New Roman" w:hAnsi="Times New Roman"/>
          <w:i/>
          <w:sz w:val="20"/>
          <w:szCs w:val="20"/>
          <w:lang w:val="en-US"/>
        </w:rPr>
        <w:t>individual</w:t>
      </w:r>
      <w:r w:rsidRPr="00B80F7E">
        <w:rPr>
          <w:rFonts w:ascii="Times New Roman" w:hAnsi="Times New Roman"/>
          <w:sz w:val="20"/>
          <w:szCs w:val="20"/>
          <w:lang w:val="en-US"/>
        </w:rPr>
        <w:t xml:space="preserve"> level […] everyone can identify positively with their mother tongue, and have that identification respected by others […]. It means the right to learn the mother tongue […] and the right to use it […]. It means the right to learn at least one of the official languages in one’s country of residence (Skutnabb-Kangas y Phillison 1994: 2).</w:t>
      </w:r>
    </w:p>
    <w:p w:rsidR="00536DEC" w:rsidRPr="00B80F7E" w:rsidRDefault="00536DEC" w:rsidP="00B80F7E">
      <w:pPr>
        <w:pStyle w:val="ListParagraph"/>
        <w:numPr>
          <w:ilvl w:val="0"/>
          <w:numId w:val="12"/>
        </w:numPr>
        <w:tabs>
          <w:tab w:val="right" w:pos="720"/>
        </w:tabs>
        <w:spacing w:after="0" w:line="360" w:lineRule="auto"/>
        <w:jc w:val="both"/>
        <w:rPr>
          <w:rFonts w:ascii="Times New Roman" w:hAnsi="Times New Roman"/>
          <w:sz w:val="20"/>
          <w:szCs w:val="20"/>
          <w:lang w:val="es-ES"/>
        </w:rPr>
      </w:pPr>
      <w:r w:rsidRPr="00B80F7E">
        <w:rPr>
          <w:rFonts w:ascii="Times New Roman" w:hAnsi="Times New Roman"/>
          <w:sz w:val="20"/>
          <w:szCs w:val="20"/>
          <w:lang w:val="en-US"/>
        </w:rPr>
        <w:t xml:space="preserve">[…] at a </w:t>
      </w:r>
      <w:r w:rsidRPr="00B80F7E">
        <w:rPr>
          <w:rFonts w:ascii="Times New Roman" w:hAnsi="Times New Roman"/>
          <w:i/>
          <w:sz w:val="20"/>
          <w:szCs w:val="20"/>
          <w:lang w:val="en-US"/>
        </w:rPr>
        <w:t>collective</w:t>
      </w:r>
      <w:r w:rsidRPr="00B80F7E">
        <w:rPr>
          <w:rFonts w:ascii="Times New Roman" w:hAnsi="Times New Roman"/>
          <w:sz w:val="20"/>
          <w:szCs w:val="20"/>
          <w:lang w:val="en-US"/>
        </w:rPr>
        <w:t xml:space="preserve"> level [it implies] the right of minority groups to exist (i.e. the right to be „different“ […]). It implies the right to enjoy end develop their language and the right for minorities to establish and maintain schools […]. It also involves guarantees of representation in the political affairs of the state, and the granting of autonomy to administer matters internal to the groups […] </w:t>
      </w:r>
      <w:r w:rsidRPr="00B80F7E">
        <w:rPr>
          <w:rFonts w:ascii="Times New Roman" w:hAnsi="Times New Roman"/>
          <w:sz w:val="20"/>
          <w:szCs w:val="20"/>
          <w:lang w:val="es-ES"/>
        </w:rPr>
        <w:t>(Skutnabb-Kangas y Phillison 1994: 2).</w:t>
      </w:r>
    </w:p>
    <w:p w:rsidR="00536DEC" w:rsidRPr="00B80F7E" w:rsidRDefault="00536DEC" w:rsidP="00B80F7E">
      <w:pPr>
        <w:pStyle w:val="ListParagraph"/>
        <w:numPr>
          <w:ilvl w:val="0"/>
          <w:numId w:val="12"/>
        </w:numPr>
        <w:tabs>
          <w:tab w:val="right" w:pos="720"/>
        </w:tabs>
        <w:spacing w:after="0" w:line="360" w:lineRule="auto"/>
        <w:jc w:val="both"/>
        <w:rPr>
          <w:rFonts w:ascii="Times New Roman" w:hAnsi="Times New Roman"/>
          <w:sz w:val="20"/>
          <w:szCs w:val="20"/>
          <w:lang w:val="en-US"/>
        </w:rPr>
      </w:pPr>
      <w:r w:rsidRPr="00B80F7E">
        <w:rPr>
          <w:rFonts w:ascii="Times New Roman" w:hAnsi="Times New Roman"/>
          <w:sz w:val="20"/>
          <w:szCs w:val="20"/>
          <w:lang w:val="en-US"/>
        </w:rPr>
        <w:t>Language rights are the rights of individuals and collective linguistic groups to non-interference by the State, or to assistance by the State, in the use of their own language, in perpetuating the use of the language and ensuring its future survival, in receiving information and State-provided services in their own languages, and ensuring that other lawful rights […] will not be handicapped or subject to discrimination for linguistic reasons (Chen 1998: 49).</w:t>
      </w:r>
    </w:p>
    <w:p w:rsidR="00536DEC" w:rsidRPr="00B80F7E" w:rsidRDefault="00536DEC" w:rsidP="00B80F7E">
      <w:pPr>
        <w:tabs>
          <w:tab w:val="right" w:pos="9072"/>
        </w:tabs>
        <w:spacing w:after="0" w:line="360" w:lineRule="auto"/>
        <w:jc w:val="both"/>
        <w:rPr>
          <w:rFonts w:ascii="Times New Roman" w:hAnsi="Times New Roman"/>
          <w:b/>
          <w:i/>
          <w:sz w:val="20"/>
          <w:szCs w:val="20"/>
          <w:lang w:val="en-U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El</w:t>
      </w:r>
      <w:r w:rsidRPr="00B80F7E">
        <w:rPr>
          <w:rFonts w:ascii="Times New Roman" w:hAnsi="Times New Roman"/>
          <w:b/>
          <w:i/>
          <w:sz w:val="20"/>
          <w:szCs w:val="20"/>
          <w:lang w:val="es-ES"/>
        </w:rPr>
        <w:t xml:space="preserve"> principio de personalidad</w:t>
      </w:r>
      <w:r w:rsidRPr="00B80F7E">
        <w:rPr>
          <w:rFonts w:ascii="Times New Roman" w:hAnsi="Times New Roman"/>
          <w:sz w:val="20"/>
          <w:szCs w:val="20"/>
          <w:lang w:val="es-ES"/>
        </w:rPr>
        <w:t>: reconoce el derecho de un individuo a usar su lengua materna en cualquier interacción pública dondequiera que el individuo se encuentre dentro de la jurisdicción de un estado.</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 xml:space="preserve">El </w:t>
      </w:r>
      <w:r w:rsidRPr="00B80F7E">
        <w:rPr>
          <w:rFonts w:ascii="Times New Roman" w:hAnsi="Times New Roman"/>
          <w:b/>
          <w:i/>
          <w:sz w:val="20"/>
          <w:szCs w:val="20"/>
          <w:lang w:val="es-ES"/>
        </w:rPr>
        <w:t>principio de territorialidad</w:t>
      </w:r>
      <w:r w:rsidRPr="00B80F7E">
        <w:rPr>
          <w:rFonts w:ascii="Times New Roman" w:hAnsi="Times New Roman"/>
          <w:sz w:val="20"/>
          <w:szCs w:val="20"/>
          <w:lang w:val="es-ES"/>
        </w:rPr>
        <w:t xml:space="preserve">: se aplica al derecho de una comunidad (e.g. las comunidades históricas en España) a que se use y reconozca su lengua materna en la vida pública en todas las partes en un territorio determinado. </w:t>
      </w: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Default="00536DEC" w:rsidP="00B80F7E">
      <w:pPr>
        <w:tabs>
          <w:tab w:val="right" w:pos="9072"/>
        </w:tabs>
        <w:spacing w:after="0" w:line="360" w:lineRule="auto"/>
        <w:jc w:val="both"/>
        <w:rPr>
          <w:rFonts w:ascii="Times New Roman" w:hAnsi="Times New Roman"/>
          <w:b/>
          <w:sz w:val="20"/>
          <w:szCs w:val="20"/>
          <w:lang w:val="es-ES"/>
        </w:rPr>
      </w:pPr>
      <w:r w:rsidRPr="00B80F7E">
        <w:rPr>
          <w:rFonts w:ascii="Times New Roman" w:hAnsi="Times New Roman"/>
          <w:b/>
          <w:sz w:val="20"/>
          <w:szCs w:val="20"/>
          <w:lang w:val="es-ES"/>
        </w:rPr>
        <w:t>Política, legislación y planificación lingüística</w:t>
      </w:r>
    </w:p>
    <w:p w:rsidR="00536DEC" w:rsidRPr="00B80F7E" w:rsidRDefault="00536DEC" w:rsidP="00B80F7E">
      <w:pPr>
        <w:tabs>
          <w:tab w:val="right" w:pos="9072"/>
        </w:tabs>
        <w:spacing w:after="0" w:line="360" w:lineRule="auto"/>
        <w:jc w:val="both"/>
        <w:rPr>
          <w:rFonts w:ascii="Times New Roman" w:hAnsi="Times New Roman"/>
          <w:b/>
          <w:sz w:val="20"/>
          <w:szCs w:val="20"/>
          <w:lang w:val="es-ES"/>
        </w:rPr>
      </w:pPr>
    </w:p>
    <w:p w:rsidR="00536DEC" w:rsidRPr="00B80F7E" w:rsidRDefault="00536DEC" w:rsidP="00B80F7E">
      <w:pPr>
        <w:numPr>
          <w:ilvl w:val="0"/>
          <w:numId w:val="21"/>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b/>
          <w:i/>
          <w:sz w:val="20"/>
          <w:szCs w:val="20"/>
          <w:lang w:val="es-ES"/>
        </w:rPr>
        <w:t>Oficial</w:t>
      </w:r>
      <w:r w:rsidRPr="00B80F7E">
        <w:rPr>
          <w:rFonts w:ascii="Times New Roman" w:hAnsi="Times New Roman"/>
          <w:sz w:val="20"/>
          <w:szCs w:val="20"/>
          <w:lang w:val="es-ES"/>
        </w:rPr>
        <w:t xml:space="preserve"> legislación promulgada para conceder un estatus oficial a una lengua (en todo el estado o en ciertos territorios); afecta a la lengua de uso en todo discurso gubernamental, administrativo, legal, educativo y, en general, público, escrito y oral.</w:t>
      </w:r>
    </w:p>
    <w:p w:rsidR="00536DEC" w:rsidRPr="00B80F7E" w:rsidRDefault="00536DEC" w:rsidP="00B80F7E">
      <w:pPr>
        <w:numPr>
          <w:ilvl w:val="0"/>
          <w:numId w:val="21"/>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b/>
          <w:i/>
          <w:sz w:val="20"/>
          <w:szCs w:val="20"/>
          <w:lang w:val="es-ES"/>
        </w:rPr>
        <w:t>Institucional</w:t>
      </w:r>
      <w:r w:rsidRPr="00B80F7E">
        <w:rPr>
          <w:rFonts w:ascii="Times New Roman" w:hAnsi="Times New Roman"/>
          <w:sz w:val="20"/>
          <w:szCs w:val="20"/>
          <w:lang w:val="es-ES"/>
        </w:rPr>
        <w:t>: lengua normal, habitual o común en las esferas no oficiales de trabajo, comunicación, cultura, comercio y negocios.</w:t>
      </w:r>
    </w:p>
    <w:p w:rsidR="00536DEC" w:rsidRPr="00B80F7E" w:rsidRDefault="00536DEC" w:rsidP="00B80F7E">
      <w:pPr>
        <w:numPr>
          <w:ilvl w:val="0"/>
          <w:numId w:val="21"/>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b/>
          <w:i/>
          <w:sz w:val="20"/>
          <w:szCs w:val="20"/>
          <w:lang w:val="es-ES"/>
        </w:rPr>
        <w:t>Estandarizadora</w:t>
      </w:r>
      <w:r w:rsidRPr="00B80F7E">
        <w:rPr>
          <w:rFonts w:ascii="Times New Roman" w:hAnsi="Times New Roman"/>
          <w:sz w:val="20"/>
          <w:szCs w:val="20"/>
          <w:lang w:val="es-ES"/>
        </w:rPr>
        <w:t>: la gramática y el corpus del o de los idiomas oficiales en ciertas esferas públicas.</w:t>
      </w:r>
    </w:p>
    <w:p w:rsidR="00536DEC" w:rsidRPr="00B80F7E" w:rsidRDefault="00536DEC" w:rsidP="00B80F7E">
      <w:pPr>
        <w:numPr>
          <w:ilvl w:val="0"/>
          <w:numId w:val="21"/>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b/>
          <w:i/>
          <w:sz w:val="20"/>
          <w:szCs w:val="20"/>
          <w:lang w:val="es-ES"/>
        </w:rPr>
        <w:t>Liberal</w:t>
      </w:r>
      <w:r w:rsidRPr="00B80F7E">
        <w:rPr>
          <w:rFonts w:ascii="Times New Roman" w:hAnsi="Times New Roman"/>
          <w:sz w:val="20"/>
          <w:szCs w:val="20"/>
          <w:lang w:val="es-ES"/>
        </w:rPr>
        <w:t>: la legislación que salvaguarda los derechos lingüísticos descritos en el apartado anterior (p. ej. las minorías lingüísticas).</w:t>
      </w:r>
    </w:p>
    <w:p w:rsidR="00536DEC" w:rsidRDefault="00536DEC" w:rsidP="00B80F7E">
      <w:pPr>
        <w:tabs>
          <w:tab w:val="right" w:pos="9072"/>
        </w:tabs>
        <w:spacing w:after="0" w:line="360" w:lineRule="auto"/>
        <w:jc w:val="both"/>
        <w:rPr>
          <w:rFonts w:ascii="Times New Roman" w:hAnsi="Times New Roman"/>
          <w:b/>
          <w:i/>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i/>
          <w:sz w:val="20"/>
          <w:szCs w:val="20"/>
          <w:lang w:val="es-ES"/>
        </w:rPr>
        <w:t>Política lingüística</w:t>
      </w:r>
      <w:r w:rsidRPr="00B80F7E">
        <w:rPr>
          <w:rFonts w:ascii="Times New Roman" w:hAnsi="Times New Roman"/>
          <w:sz w:val="20"/>
          <w:szCs w:val="20"/>
          <w:lang w:val="es-ES"/>
        </w:rPr>
        <w:t xml:space="preserve"> </w:t>
      </w:r>
      <w:r w:rsidRPr="00B80F7E">
        <w:rPr>
          <w:rFonts w:ascii="Times New Roman" w:hAnsi="Times New Roman"/>
          <w:b/>
          <w:i/>
          <w:sz w:val="20"/>
          <w:szCs w:val="20"/>
          <w:lang w:val="es-ES"/>
        </w:rPr>
        <w:t>≠</w:t>
      </w:r>
      <w:r w:rsidRPr="00B80F7E">
        <w:rPr>
          <w:rFonts w:ascii="Times New Roman" w:hAnsi="Times New Roman"/>
          <w:sz w:val="20"/>
          <w:szCs w:val="20"/>
          <w:lang w:val="es-ES"/>
        </w:rPr>
        <w:t xml:space="preserve"> </w:t>
      </w:r>
      <w:r w:rsidRPr="00B80F7E">
        <w:rPr>
          <w:rFonts w:ascii="Times New Roman" w:hAnsi="Times New Roman"/>
          <w:b/>
          <w:sz w:val="20"/>
          <w:szCs w:val="20"/>
          <w:lang w:val="es-ES"/>
        </w:rPr>
        <w:t>planificación lingüística</w:t>
      </w:r>
      <w:r w:rsidRPr="00B80F7E">
        <w:rPr>
          <w:rFonts w:ascii="Times New Roman" w:hAnsi="Times New Roman"/>
          <w:sz w:val="20"/>
          <w:szCs w:val="20"/>
          <w:lang w:val="es-ES"/>
        </w:rPr>
        <w:t>; toma de decisiones y su puesta en práctica.</w:t>
      </w:r>
    </w:p>
    <w:p w:rsidR="00536DEC" w:rsidRDefault="00536DEC" w:rsidP="00B80F7E">
      <w:pPr>
        <w:tabs>
          <w:tab w:val="right" w:pos="9072"/>
        </w:tabs>
        <w:spacing w:after="0" w:line="360" w:lineRule="auto"/>
        <w:jc w:val="both"/>
        <w:rPr>
          <w:rFonts w:ascii="Times New Roman" w:hAnsi="Times New Roman"/>
          <w:b/>
          <w:i/>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i/>
          <w:sz w:val="20"/>
          <w:szCs w:val="20"/>
          <w:lang w:val="es-ES"/>
        </w:rPr>
        <w:t>Política</w:t>
      </w:r>
      <w:r w:rsidRPr="00B80F7E">
        <w:rPr>
          <w:rFonts w:ascii="Times New Roman" w:hAnsi="Times New Roman"/>
          <w:sz w:val="20"/>
          <w:szCs w:val="20"/>
          <w:lang w:val="es-ES"/>
        </w:rPr>
        <w:t xml:space="preserve"> </w:t>
      </w:r>
      <w:r w:rsidRPr="00B80F7E">
        <w:rPr>
          <w:rFonts w:ascii="Times New Roman" w:hAnsi="Times New Roman"/>
          <w:b/>
          <w:i/>
          <w:sz w:val="20"/>
          <w:szCs w:val="20"/>
          <w:lang w:val="es-ES"/>
        </w:rPr>
        <w:t>lingüística</w:t>
      </w:r>
      <w:r w:rsidRPr="00B80F7E">
        <w:rPr>
          <w:rFonts w:ascii="Times New Roman" w:hAnsi="Times New Roman"/>
          <w:sz w:val="20"/>
          <w:szCs w:val="20"/>
          <w:lang w:val="es-ES"/>
        </w:rPr>
        <w:t>: decisiones y opciones ubicadas en el contexto ideológico y político en el cual alguien las expone.</w:t>
      </w:r>
    </w:p>
    <w:p w:rsidR="00536DEC" w:rsidRDefault="00536DEC" w:rsidP="00B80F7E">
      <w:pPr>
        <w:tabs>
          <w:tab w:val="right" w:pos="9072"/>
        </w:tabs>
        <w:spacing w:after="0" w:line="360" w:lineRule="auto"/>
        <w:jc w:val="both"/>
        <w:rPr>
          <w:rFonts w:ascii="Times New Roman" w:hAnsi="Times New Roman"/>
          <w:b/>
          <w:i/>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r w:rsidRPr="00B80F7E">
        <w:rPr>
          <w:rFonts w:ascii="Times New Roman" w:hAnsi="Times New Roman"/>
          <w:b/>
          <w:i/>
          <w:sz w:val="20"/>
          <w:szCs w:val="20"/>
          <w:lang w:val="es-ES"/>
        </w:rPr>
        <w:t>Planificación</w:t>
      </w:r>
      <w:r w:rsidRPr="00B80F7E">
        <w:rPr>
          <w:rFonts w:ascii="Times New Roman" w:hAnsi="Times New Roman"/>
          <w:sz w:val="20"/>
          <w:szCs w:val="20"/>
          <w:lang w:val="es-ES"/>
        </w:rPr>
        <w:t xml:space="preserve"> </w:t>
      </w:r>
      <w:r w:rsidRPr="00B80F7E">
        <w:rPr>
          <w:rFonts w:ascii="Times New Roman" w:hAnsi="Times New Roman"/>
          <w:b/>
          <w:i/>
          <w:sz w:val="20"/>
          <w:szCs w:val="20"/>
          <w:lang w:val="es-ES"/>
        </w:rPr>
        <w:t>lingüística</w:t>
      </w:r>
      <w:r w:rsidRPr="00B80F7E">
        <w:rPr>
          <w:rFonts w:ascii="Times New Roman" w:hAnsi="Times New Roman"/>
          <w:sz w:val="20"/>
          <w:szCs w:val="20"/>
          <w:lang w:val="es-ES"/>
        </w:rPr>
        <w:t xml:space="preserve">: el medio por el cual los representantes políticos proponen o exigen su puesta en práctica. </w:t>
      </w:r>
    </w:p>
    <w:p w:rsidR="00536DEC" w:rsidRDefault="00536DEC" w:rsidP="00B80F7E">
      <w:pPr>
        <w:tabs>
          <w:tab w:val="right" w:pos="9072"/>
        </w:tabs>
        <w:spacing w:after="0" w:line="360" w:lineRule="auto"/>
        <w:jc w:val="both"/>
        <w:rPr>
          <w:rFonts w:ascii="Times New Roman" w:hAnsi="Times New Roman"/>
          <w:sz w:val="20"/>
          <w:szCs w:val="20"/>
          <w:lang w:val="en-US"/>
        </w:rPr>
      </w:pPr>
      <w:r w:rsidRPr="00B80F7E">
        <w:rPr>
          <w:rFonts w:ascii="Times New Roman" w:hAnsi="Times New Roman"/>
          <w:b/>
          <w:i/>
          <w:sz w:val="20"/>
          <w:szCs w:val="20"/>
          <w:lang w:val="en-US"/>
        </w:rPr>
        <w:t>Planificación</w:t>
      </w:r>
      <w:r w:rsidRPr="00B80F7E">
        <w:rPr>
          <w:rFonts w:ascii="Times New Roman" w:hAnsi="Times New Roman"/>
          <w:sz w:val="20"/>
          <w:szCs w:val="20"/>
          <w:lang w:val="en-US"/>
        </w:rPr>
        <w:t xml:space="preserve"> </w:t>
      </w:r>
      <w:r w:rsidRPr="00B80F7E">
        <w:rPr>
          <w:rFonts w:ascii="Times New Roman" w:hAnsi="Times New Roman"/>
          <w:b/>
          <w:i/>
          <w:sz w:val="20"/>
          <w:szCs w:val="20"/>
          <w:lang w:val="en-US"/>
        </w:rPr>
        <w:t>lingüística</w:t>
      </w:r>
      <w:r w:rsidRPr="00B80F7E">
        <w:rPr>
          <w:rFonts w:ascii="Times New Roman" w:hAnsi="Times New Roman"/>
          <w:sz w:val="20"/>
          <w:szCs w:val="20"/>
          <w:lang w:val="en-US"/>
        </w:rPr>
        <w:t xml:space="preserve">: “Language planning refers to deliberate efforts to influence the behaviour of others with respect to the acquisition, structure or functional allocation of their language codes” (Cooper 1989: 45). </w:t>
      </w:r>
    </w:p>
    <w:p w:rsidR="00536DEC" w:rsidRPr="00B80F7E" w:rsidRDefault="00536DEC" w:rsidP="00B80F7E">
      <w:pPr>
        <w:tabs>
          <w:tab w:val="right" w:pos="9072"/>
        </w:tabs>
        <w:spacing w:after="0" w:line="360" w:lineRule="auto"/>
        <w:jc w:val="both"/>
        <w:rPr>
          <w:rFonts w:ascii="Times New Roman" w:hAnsi="Times New Roman"/>
          <w:sz w:val="20"/>
          <w:szCs w:val="20"/>
          <w:lang w:val="en-US"/>
        </w:rPr>
      </w:pPr>
    </w:p>
    <w:p w:rsidR="00536DEC" w:rsidRDefault="00536DEC" w:rsidP="00B80F7E">
      <w:pPr>
        <w:tabs>
          <w:tab w:val="right" w:pos="9072"/>
        </w:tabs>
        <w:spacing w:after="0" w:line="360" w:lineRule="auto"/>
        <w:jc w:val="both"/>
        <w:rPr>
          <w:rFonts w:ascii="Times New Roman" w:hAnsi="Times New Roman"/>
          <w:b/>
          <w:i/>
          <w:sz w:val="20"/>
          <w:szCs w:val="20"/>
          <w:lang w:val="es-ES"/>
        </w:rPr>
      </w:pPr>
      <w:r w:rsidRPr="00B80F7E">
        <w:rPr>
          <w:rFonts w:ascii="Times New Roman" w:hAnsi="Times New Roman"/>
          <w:b/>
          <w:i/>
          <w:sz w:val="20"/>
          <w:szCs w:val="20"/>
          <w:lang w:val="es-ES"/>
        </w:rPr>
        <w:t>La planificación lingüística se pone en práctica mediante tres amplias categorías:</w:t>
      </w:r>
    </w:p>
    <w:p w:rsidR="00536DEC" w:rsidRPr="00B80F7E" w:rsidRDefault="00536DEC" w:rsidP="00B80F7E">
      <w:pPr>
        <w:tabs>
          <w:tab w:val="right" w:pos="9072"/>
        </w:tabs>
        <w:spacing w:after="0" w:line="360" w:lineRule="auto"/>
        <w:jc w:val="both"/>
        <w:rPr>
          <w:rFonts w:ascii="Times New Roman" w:hAnsi="Times New Roman"/>
          <w:b/>
          <w:i/>
          <w:sz w:val="20"/>
          <w:szCs w:val="20"/>
          <w:lang w:val="es-ES"/>
        </w:rPr>
      </w:pPr>
    </w:p>
    <w:p w:rsidR="00536DEC" w:rsidRPr="00B80F7E" w:rsidRDefault="00536DEC" w:rsidP="00B80F7E">
      <w:pPr>
        <w:numPr>
          <w:ilvl w:val="0"/>
          <w:numId w:val="22"/>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i/>
          <w:sz w:val="20"/>
          <w:szCs w:val="20"/>
          <w:lang w:val="es-ES"/>
        </w:rPr>
        <w:t>Planificación de corpus</w:t>
      </w:r>
      <w:r w:rsidRPr="00B80F7E">
        <w:rPr>
          <w:rFonts w:ascii="Times New Roman" w:hAnsi="Times New Roman"/>
          <w:sz w:val="20"/>
          <w:szCs w:val="20"/>
          <w:lang w:val="es-ES"/>
        </w:rPr>
        <w:t xml:space="preserve">: se centra en forma de la lengua o lenguas; constituye la base de los procesos de estandarización en que se incluyen la selección u promoción de idiomas oficiales. </w:t>
      </w:r>
    </w:p>
    <w:p w:rsidR="00536DEC" w:rsidRPr="00B80F7E" w:rsidRDefault="00536DEC" w:rsidP="00B80F7E">
      <w:pPr>
        <w:numPr>
          <w:ilvl w:val="0"/>
          <w:numId w:val="22"/>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i/>
          <w:sz w:val="20"/>
          <w:szCs w:val="20"/>
          <w:lang w:val="es-ES"/>
        </w:rPr>
        <w:t>Planificación de estatus</w:t>
      </w:r>
      <w:r w:rsidRPr="00B80F7E">
        <w:rPr>
          <w:rFonts w:ascii="Times New Roman" w:hAnsi="Times New Roman"/>
          <w:sz w:val="20"/>
          <w:szCs w:val="20"/>
          <w:lang w:val="es-ES"/>
        </w:rPr>
        <w:t>: se dedica a promover el prestigio de una lengua a través de iniciativas para su uso en contextos más amplios y, en particular, entre las autoridades públicas, como la administración y el cuerpo judicial</w:t>
      </w:r>
    </w:p>
    <w:p w:rsidR="00536DEC" w:rsidRPr="00B80F7E" w:rsidRDefault="00536DEC" w:rsidP="00B80F7E">
      <w:pPr>
        <w:numPr>
          <w:ilvl w:val="0"/>
          <w:numId w:val="22"/>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i/>
          <w:sz w:val="20"/>
          <w:szCs w:val="20"/>
          <w:lang w:val="es-ES"/>
        </w:rPr>
        <w:t>Planificación de la adquisición de la lengua</w:t>
      </w:r>
      <w:r w:rsidRPr="00B80F7E">
        <w:rPr>
          <w:rFonts w:ascii="Times New Roman" w:hAnsi="Times New Roman"/>
          <w:sz w:val="20"/>
          <w:szCs w:val="20"/>
          <w:lang w:val="es-ES"/>
        </w:rPr>
        <w:t>: una categoría más reciente que desarrolla aspectos de la planificación de estatus al centrarse en cómo la lengua puede ser aprendida y adquirida</w:t>
      </w:r>
    </w:p>
    <w:p w:rsidR="00536DEC" w:rsidRPr="00B80F7E" w:rsidRDefault="00536DEC" w:rsidP="00B80F7E">
      <w:pPr>
        <w:tabs>
          <w:tab w:val="right" w:pos="9072"/>
        </w:tabs>
        <w:spacing w:after="0" w:line="360" w:lineRule="auto"/>
        <w:jc w:val="both"/>
        <w:rPr>
          <w:rFonts w:ascii="Times New Roman" w:hAnsi="Times New Roman"/>
          <w:b/>
          <w:i/>
          <w:sz w:val="20"/>
          <w:szCs w:val="20"/>
          <w:lang w:val="es-ES"/>
        </w:rPr>
      </w:pPr>
    </w:p>
    <w:p w:rsidR="00536DEC" w:rsidRDefault="00536DEC" w:rsidP="00B80F7E">
      <w:pPr>
        <w:tabs>
          <w:tab w:val="right" w:pos="9072"/>
        </w:tabs>
        <w:spacing w:after="0" w:line="360" w:lineRule="auto"/>
        <w:jc w:val="both"/>
        <w:rPr>
          <w:rFonts w:ascii="Times New Roman" w:hAnsi="Times New Roman"/>
          <w:b/>
          <w:sz w:val="20"/>
          <w:szCs w:val="20"/>
          <w:lang w:val="en-US"/>
        </w:rPr>
      </w:pPr>
      <w:r w:rsidRPr="00B80F7E">
        <w:rPr>
          <w:rFonts w:ascii="Times New Roman" w:hAnsi="Times New Roman"/>
          <w:b/>
          <w:i/>
          <w:sz w:val="20"/>
          <w:szCs w:val="20"/>
          <w:lang w:val="en-US"/>
        </w:rPr>
        <w:t>Planificación de normalización</w:t>
      </w:r>
      <w:r w:rsidRPr="00B80F7E">
        <w:rPr>
          <w:rFonts w:ascii="Times New Roman" w:hAnsi="Times New Roman"/>
          <w:b/>
          <w:sz w:val="20"/>
          <w:szCs w:val="20"/>
          <w:lang w:val="en-US"/>
        </w:rPr>
        <w:t>:</w:t>
      </w:r>
    </w:p>
    <w:p w:rsidR="00536DEC" w:rsidRPr="00B80F7E" w:rsidRDefault="00536DEC" w:rsidP="00B80F7E">
      <w:pPr>
        <w:tabs>
          <w:tab w:val="right" w:pos="9072"/>
        </w:tabs>
        <w:spacing w:after="0" w:line="360" w:lineRule="auto"/>
        <w:jc w:val="both"/>
        <w:rPr>
          <w:rFonts w:ascii="Times New Roman" w:hAnsi="Times New Roman"/>
          <w:b/>
          <w:sz w:val="20"/>
          <w:szCs w:val="20"/>
          <w:lang w:val="en-US"/>
        </w:rPr>
      </w:pPr>
    </w:p>
    <w:p w:rsidR="00536DEC" w:rsidRPr="00B80F7E" w:rsidRDefault="00536DEC" w:rsidP="00B80F7E">
      <w:pPr>
        <w:tabs>
          <w:tab w:val="right" w:pos="9072"/>
        </w:tabs>
        <w:spacing w:after="0" w:line="360" w:lineRule="auto"/>
        <w:jc w:val="both"/>
        <w:rPr>
          <w:rFonts w:ascii="Times New Roman" w:hAnsi="Times New Roman"/>
          <w:sz w:val="20"/>
          <w:szCs w:val="20"/>
          <w:lang w:val="en-US"/>
        </w:rPr>
      </w:pPr>
      <w:r w:rsidRPr="00B80F7E">
        <w:rPr>
          <w:rFonts w:ascii="Times New Roman" w:hAnsi="Times New Roman"/>
          <w:sz w:val="20"/>
          <w:szCs w:val="20"/>
          <w:lang w:val="en-US"/>
        </w:rPr>
        <w:t>“Normalisation consists of […] three tasks […] (a) to empower minority languages in order to make it possible for [them] to satisfy the communicative needs of a modern society; (b) to increase the number of speakers/users and increase the communicative competence of current users, and (c) expand the geographic scope of the language within a given area.” (Cobarrubias 1987: 60)</w:t>
      </w:r>
    </w:p>
    <w:p w:rsidR="00536DEC" w:rsidRDefault="00536DEC" w:rsidP="00B80F7E">
      <w:pPr>
        <w:tabs>
          <w:tab w:val="right" w:pos="9072"/>
        </w:tabs>
        <w:spacing w:after="0" w:line="360" w:lineRule="auto"/>
        <w:jc w:val="both"/>
        <w:rPr>
          <w:rFonts w:ascii="Times New Roman" w:hAnsi="Times New Roman"/>
          <w:sz w:val="20"/>
          <w:szCs w:val="20"/>
          <w:lang w:val="en-US"/>
        </w:rPr>
      </w:pPr>
    </w:p>
    <w:p w:rsidR="00536DEC" w:rsidRDefault="00536DEC" w:rsidP="00B80F7E">
      <w:pPr>
        <w:tabs>
          <w:tab w:val="right" w:pos="9072"/>
        </w:tabs>
        <w:spacing w:after="0" w:line="360" w:lineRule="auto"/>
        <w:jc w:val="both"/>
        <w:rPr>
          <w:rFonts w:ascii="Times New Roman" w:hAnsi="Times New Roman"/>
          <w:sz w:val="20"/>
          <w:szCs w:val="20"/>
          <w:lang w:val="en-US"/>
        </w:rPr>
      </w:pPr>
      <w:r w:rsidRPr="00B80F7E">
        <w:rPr>
          <w:rFonts w:ascii="Times New Roman" w:hAnsi="Times New Roman"/>
          <w:sz w:val="20"/>
          <w:szCs w:val="20"/>
          <w:lang w:val="en-US"/>
        </w:rPr>
        <w:t>Tendencias:</w:t>
      </w:r>
    </w:p>
    <w:p w:rsidR="00536DEC" w:rsidRPr="00B80F7E" w:rsidRDefault="00536DEC" w:rsidP="00B80F7E">
      <w:pPr>
        <w:tabs>
          <w:tab w:val="right" w:pos="9072"/>
        </w:tabs>
        <w:spacing w:after="0" w:line="360" w:lineRule="auto"/>
        <w:jc w:val="both"/>
        <w:rPr>
          <w:rFonts w:ascii="Times New Roman" w:hAnsi="Times New Roman"/>
          <w:sz w:val="20"/>
          <w:szCs w:val="20"/>
          <w:lang w:val="en-US"/>
        </w:rPr>
      </w:pPr>
    </w:p>
    <w:p w:rsidR="00536DEC" w:rsidRPr="00B80F7E" w:rsidRDefault="00536DEC" w:rsidP="00B80F7E">
      <w:pPr>
        <w:numPr>
          <w:ilvl w:val="0"/>
          <w:numId w:val="23"/>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asimilación u homogeneización (monolingüismo dominante);</w:t>
      </w:r>
    </w:p>
    <w:p w:rsidR="00536DEC" w:rsidRPr="00B80F7E" w:rsidRDefault="00536DEC" w:rsidP="00B80F7E">
      <w:pPr>
        <w:numPr>
          <w:ilvl w:val="0"/>
          <w:numId w:val="23"/>
        </w:numPr>
        <w:tabs>
          <w:tab w:val="right" w:pos="9072"/>
        </w:tabs>
        <w:spacing w:after="0" w:line="360" w:lineRule="auto"/>
        <w:jc w:val="both"/>
        <w:rPr>
          <w:rFonts w:ascii="Times New Roman" w:hAnsi="Times New Roman"/>
          <w:sz w:val="20"/>
          <w:szCs w:val="20"/>
          <w:lang w:val="es-ES"/>
        </w:rPr>
      </w:pPr>
      <w:r w:rsidRPr="00B80F7E">
        <w:rPr>
          <w:rFonts w:ascii="Times New Roman" w:hAnsi="Times New Roman"/>
          <w:sz w:val="20"/>
          <w:szCs w:val="20"/>
          <w:lang w:val="es-ES"/>
        </w:rPr>
        <w:t>reconocimiento de los grupos minoritarios y de sus derechos (modelos pluralistas).</w:t>
      </w:r>
    </w:p>
    <w:p w:rsidR="00536DEC" w:rsidRDefault="00536DEC" w:rsidP="00B80F7E">
      <w:pPr>
        <w:tabs>
          <w:tab w:val="right" w:pos="9072"/>
        </w:tabs>
        <w:spacing w:after="0" w:line="360" w:lineRule="auto"/>
        <w:jc w:val="both"/>
        <w:rPr>
          <w:rFonts w:ascii="Times New Roman" w:hAnsi="Times New Roman"/>
          <w:sz w:val="20"/>
          <w:szCs w:val="20"/>
          <w:lang w:val="es-ES"/>
        </w:rPr>
        <w:sectPr w:rsidR="00536DEC" w:rsidSect="00427E92">
          <w:type w:val="continuous"/>
          <w:pgSz w:w="16838" w:h="11906" w:orient="landscape"/>
          <w:pgMar w:top="1417" w:right="1417" w:bottom="1417" w:left="1417" w:header="708" w:footer="708" w:gutter="0"/>
          <w:cols w:num="2" w:space="709"/>
          <w:docGrid w:linePitch="360"/>
        </w:sect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B80F7E">
      <w:pPr>
        <w:tabs>
          <w:tab w:val="right" w:pos="9072"/>
        </w:tabs>
        <w:spacing w:after="0" w:line="360" w:lineRule="auto"/>
        <w:jc w:val="both"/>
        <w:rPr>
          <w:rFonts w:ascii="Times New Roman" w:hAnsi="Times New Roman"/>
          <w:sz w:val="20"/>
          <w:szCs w:val="20"/>
          <w:lang w:val="es-ES"/>
        </w:rPr>
      </w:pPr>
    </w:p>
    <w:p w:rsidR="00536DEC" w:rsidRPr="00B80F7E" w:rsidRDefault="00536DEC" w:rsidP="00427E92">
      <w:pPr>
        <w:tabs>
          <w:tab w:val="right" w:pos="9072"/>
        </w:tabs>
        <w:spacing w:after="0" w:line="240" w:lineRule="auto"/>
        <w:jc w:val="both"/>
        <w:rPr>
          <w:rFonts w:ascii="Times New Roman" w:hAnsi="Times New Roman"/>
          <w:b/>
          <w:sz w:val="20"/>
          <w:szCs w:val="20"/>
          <w:lang w:val="es-ES"/>
        </w:rPr>
      </w:pPr>
      <w:r w:rsidRPr="00B80F7E">
        <w:rPr>
          <w:rFonts w:ascii="Times New Roman" w:hAnsi="Times New Roman"/>
          <w:b/>
          <w:sz w:val="20"/>
          <w:szCs w:val="20"/>
          <w:lang w:val="es-ES"/>
        </w:rPr>
        <w:t>Bibliografía</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Bastardas, A., E. Boix (eds.) (1994): </w:t>
      </w:r>
      <w:r w:rsidRPr="00B80F7E">
        <w:rPr>
          <w:rFonts w:ascii="Times New Roman" w:hAnsi="Times New Roman"/>
          <w:i/>
          <w:sz w:val="20"/>
          <w:szCs w:val="20"/>
          <w:lang w:val="es-ES"/>
        </w:rPr>
        <w:t>¿Un estado, una lengua? La organización política de la diversidad lingüística</w:t>
      </w:r>
      <w:r w:rsidRPr="00B80F7E">
        <w:rPr>
          <w:rFonts w:ascii="Times New Roman" w:hAnsi="Times New Roman"/>
          <w:sz w:val="20"/>
          <w:szCs w:val="20"/>
          <w:lang w:val="es-ES"/>
        </w:rPr>
        <w:t>, Barcelona, Octaedro.</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Cooper, R. (1989): </w:t>
      </w:r>
      <w:r w:rsidRPr="00B80F7E">
        <w:rPr>
          <w:rFonts w:ascii="Times New Roman" w:hAnsi="Times New Roman"/>
          <w:i/>
          <w:sz w:val="20"/>
          <w:szCs w:val="20"/>
          <w:lang w:val="es-ES"/>
        </w:rPr>
        <w:t>Language Planning and Social Change</w:t>
      </w:r>
      <w:r w:rsidRPr="00B80F7E">
        <w:rPr>
          <w:rFonts w:ascii="Times New Roman" w:hAnsi="Times New Roman"/>
          <w:sz w:val="20"/>
          <w:szCs w:val="20"/>
          <w:lang w:val="es-ES"/>
        </w:rPr>
        <w:t xml:space="preserve">, Cambridge, Cambridge University Press (trad. esp.: </w:t>
      </w:r>
      <w:r w:rsidRPr="00B80F7E">
        <w:rPr>
          <w:rFonts w:ascii="Times New Roman" w:hAnsi="Times New Roman"/>
          <w:i/>
          <w:sz w:val="20"/>
          <w:szCs w:val="20"/>
          <w:lang w:val="es-ES"/>
        </w:rPr>
        <w:t>La planificación lingüística y el cambio social</w:t>
      </w:r>
      <w:r w:rsidRPr="00B80F7E">
        <w:rPr>
          <w:rFonts w:ascii="Times New Roman" w:hAnsi="Times New Roman"/>
          <w:sz w:val="20"/>
          <w:szCs w:val="20"/>
          <w:lang w:val="es-ES"/>
        </w:rPr>
        <w:t>, Madrid, Cambridge University Press, 1997).</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Lara, L. F. (2004a): </w:t>
      </w:r>
      <w:r w:rsidRPr="00B80F7E">
        <w:rPr>
          <w:rFonts w:ascii="Times New Roman" w:hAnsi="Times New Roman"/>
          <w:i/>
          <w:sz w:val="20"/>
          <w:szCs w:val="20"/>
          <w:lang w:val="es-ES"/>
        </w:rPr>
        <w:t>Lengua histórica y normatividad</w:t>
      </w:r>
      <w:r w:rsidRPr="00B80F7E">
        <w:rPr>
          <w:rFonts w:ascii="Times New Roman" w:hAnsi="Times New Roman"/>
          <w:sz w:val="20"/>
          <w:szCs w:val="20"/>
          <w:lang w:val="es-ES"/>
        </w:rPr>
        <w:t>, México, D.F., El Colegio de México.</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Lara, L. F. (2004b): «Culturas nacionales y léxico contemporáneo del español», in J. Lüdtke, C. Schmitt (eds.), </w:t>
      </w:r>
      <w:r w:rsidRPr="00B80F7E">
        <w:rPr>
          <w:rFonts w:ascii="Times New Roman" w:hAnsi="Times New Roman"/>
          <w:i/>
          <w:sz w:val="20"/>
          <w:szCs w:val="20"/>
          <w:lang w:val="es-ES"/>
        </w:rPr>
        <w:t>Historia del léxico español. Enfoques y aplicaciones. Homenaje a Bodo Müller</w:t>
      </w:r>
      <w:r w:rsidRPr="00B80F7E">
        <w:rPr>
          <w:rFonts w:ascii="Times New Roman" w:hAnsi="Times New Roman"/>
          <w:sz w:val="20"/>
          <w:szCs w:val="20"/>
          <w:lang w:val="es-ES"/>
        </w:rPr>
        <w:t>, Madrid-Frankfurt am Main, Iberoamericana-Vervuert, 303-315.</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Lara, L. F. (2007): «Por una reconstrucción de la idea de la lengua española. Más allá de las fronteras instituidas», in J. del Valle (ed.), </w:t>
      </w:r>
      <w:r w:rsidRPr="00B80F7E">
        <w:rPr>
          <w:rFonts w:ascii="Times New Roman" w:hAnsi="Times New Roman"/>
          <w:i/>
          <w:sz w:val="20"/>
          <w:szCs w:val="20"/>
          <w:lang w:val="es-ES"/>
        </w:rPr>
        <w:t>La lengua, ¿patria común? Ideas e ideologías del español</w:t>
      </w:r>
      <w:r w:rsidRPr="00B80F7E">
        <w:rPr>
          <w:rFonts w:ascii="Times New Roman" w:hAnsi="Times New Roman"/>
          <w:sz w:val="20"/>
          <w:szCs w:val="20"/>
          <w:lang w:val="es-ES"/>
        </w:rPr>
        <w:t>, Madrid-Frankfurt am Main, Iberoamericana-Vervuert, 163-181.</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Lara, L. F. (2011): «El símbolo, el poder y la lengua», in S. Senz, M. Alberde</w:t>
      </w:r>
      <w:r w:rsidRPr="00B80F7E">
        <w:rPr>
          <w:rFonts w:ascii="Times New Roman" w:hAnsi="Times New Roman"/>
          <w:caps/>
          <w:sz w:val="20"/>
          <w:szCs w:val="20"/>
          <w:lang w:val="es-ES"/>
        </w:rPr>
        <w:t xml:space="preserve"> (</w:t>
      </w:r>
      <w:r w:rsidRPr="00B80F7E">
        <w:rPr>
          <w:rFonts w:ascii="Times New Roman" w:hAnsi="Times New Roman"/>
          <w:sz w:val="20"/>
          <w:szCs w:val="20"/>
          <w:lang w:val="es-ES"/>
        </w:rPr>
        <w:t>eds.),</w:t>
      </w:r>
      <w:r w:rsidRPr="00B80F7E">
        <w:rPr>
          <w:rFonts w:ascii="Times New Roman" w:hAnsi="Times New Roman"/>
          <w:i/>
          <w:sz w:val="20"/>
          <w:szCs w:val="20"/>
          <w:lang w:val="es-ES"/>
        </w:rPr>
        <w:t xml:space="preserve"> El dardo en la Academia</w:t>
      </w:r>
      <w:r w:rsidRPr="00B80F7E">
        <w:rPr>
          <w:rFonts w:ascii="Times New Roman" w:hAnsi="Times New Roman"/>
          <w:sz w:val="20"/>
          <w:szCs w:val="20"/>
          <w:lang w:val="es-ES"/>
        </w:rPr>
        <w:t>, tomo 1, Barcelona, Melusina, 315-341.</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Lodares, J. R. (2000): </w:t>
      </w:r>
      <w:r w:rsidRPr="00B80F7E">
        <w:rPr>
          <w:rFonts w:ascii="Times New Roman" w:hAnsi="Times New Roman"/>
          <w:i/>
          <w:sz w:val="20"/>
          <w:szCs w:val="20"/>
          <w:lang w:val="es-ES"/>
        </w:rPr>
        <w:t>El paraíso políglota. Historia de lenguas en la España moderna contada sin prejuicios</w:t>
      </w:r>
      <w:r w:rsidRPr="00B80F7E">
        <w:rPr>
          <w:rFonts w:ascii="Times New Roman" w:hAnsi="Times New Roman"/>
          <w:sz w:val="20"/>
          <w:szCs w:val="20"/>
          <w:lang w:val="es-ES"/>
        </w:rPr>
        <w:t>, Madrid, Taurus.</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Lodares, J. R. (2002): </w:t>
      </w:r>
      <w:r w:rsidRPr="00B80F7E">
        <w:rPr>
          <w:rFonts w:ascii="Times New Roman" w:hAnsi="Times New Roman"/>
          <w:i/>
          <w:sz w:val="20"/>
          <w:szCs w:val="20"/>
          <w:lang w:val="es-ES"/>
        </w:rPr>
        <w:t>Lengua y patria</w:t>
      </w:r>
      <w:r w:rsidRPr="00B80F7E">
        <w:rPr>
          <w:rFonts w:ascii="Times New Roman" w:hAnsi="Times New Roman"/>
          <w:sz w:val="20"/>
          <w:szCs w:val="20"/>
          <w:lang w:val="es-ES"/>
        </w:rPr>
        <w:t>, Madrid, Taurus.</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Lodares, J. R. (2006): «Un diagnóstico sociolingüístico de España», in M. Castillo Lluch, J. Kabatek (eds.), </w:t>
      </w:r>
      <w:r w:rsidRPr="00B80F7E">
        <w:rPr>
          <w:rFonts w:ascii="Times New Roman" w:hAnsi="Times New Roman"/>
          <w:i/>
          <w:sz w:val="20"/>
          <w:szCs w:val="20"/>
          <w:lang w:val="es-ES"/>
        </w:rPr>
        <w:t>Las Lenguas de España. Política lingüística, sociología del lenguaje e ideología desde la Transición hasta la actualidad</w:t>
      </w:r>
      <w:r w:rsidRPr="00B80F7E">
        <w:rPr>
          <w:rFonts w:ascii="Times New Roman" w:hAnsi="Times New Roman"/>
          <w:sz w:val="20"/>
          <w:szCs w:val="20"/>
          <w:lang w:val="es-ES"/>
        </w:rPr>
        <w:t>, Madrid-Frankfurt am Main, Iberoamericana-Vervuert, 19-32.</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López García, Á. (2004): </w:t>
      </w:r>
      <w:r w:rsidRPr="00B80F7E">
        <w:rPr>
          <w:rFonts w:ascii="Times New Roman" w:hAnsi="Times New Roman"/>
          <w:i/>
          <w:sz w:val="20"/>
          <w:szCs w:val="20"/>
          <w:lang w:val="es-ES"/>
        </w:rPr>
        <w:t>Babel airada. Las lenguas en el trasfondo de la supuesta ruptura de España</w:t>
      </w:r>
      <w:r w:rsidRPr="00B80F7E">
        <w:rPr>
          <w:rFonts w:ascii="Times New Roman" w:hAnsi="Times New Roman"/>
          <w:sz w:val="20"/>
          <w:szCs w:val="20"/>
          <w:lang w:val="es-ES"/>
        </w:rPr>
        <w:t>, Madrid, Biblioteca Nueva.</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López García, Á. (2007): «Ideologías de la lengua española: realidad y ficción», in J. del Valle (ed.), </w:t>
      </w:r>
      <w:r w:rsidRPr="00B80F7E">
        <w:rPr>
          <w:rFonts w:ascii="Times New Roman" w:hAnsi="Times New Roman"/>
          <w:i/>
          <w:sz w:val="20"/>
          <w:szCs w:val="20"/>
          <w:lang w:val="es-ES"/>
        </w:rPr>
        <w:t>La lengua, ¿patria común? Ideas e ideologías del español</w:t>
      </w:r>
      <w:r w:rsidRPr="00B80F7E">
        <w:rPr>
          <w:rFonts w:ascii="Times New Roman" w:hAnsi="Times New Roman"/>
          <w:sz w:val="20"/>
          <w:szCs w:val="20"/>
          <w:lang w:val="es-ES"/>
        </w:rPr>
        <w:t>, Madrid-Frankfurt am Main, Iberoamericana-Vervuert, 143-161.</w:t>
      </w:r>
    </w:p>
    <w:p w:rsidR="00536DEC" w:rsidRPr="00B80F7E" w:rsidRDefault="00536DEC" w:rsidP="00427E92">
      <w:pPr>
        <w:tabs>
          <w:tab w:val="right" w:pos="9072"/>
        </w:tabs>
        <w:spacing w:after="0" w:line="240" w:lineRule="auto"/>
        <w:jc w:val="both"/>
        <w:rPr>
          <w:rFonts w:ascii="Times New Roman" w:hAnsi="Times New Roman"/>
          <w:sz w:val="20"/>
          <w:szCs w:val="20"/>
          <w:lang w:val="en-US"/>
        </w:rPr>
      </w:pPr>
      <w:r w:rsidRPr="00B80F7E">
        <w:rPr>
          <w:rFonts w:ascii="Times New Roman" w:hAnsi="Times New Roman"/>
          <w:sz w:val="20"/>
          <w:szCs w:val="20"/>
          <w:lang w:val="en-US"/>
        </w:rPr>
        <w:t xml:space="preserve">Mar-Molinero, C. (2000): </w:t>
      </w:r>
      <w:r w:rsidRPr="00B80F7E">
        <w:rPr>
          <w:rFonts w:ascii="Times New Roman" w:hAnsi="Times New Roman"/>
          <w:i/>
          <w:sz w:val="20"/>
          <w:szCs w:val="20"/>
          <w:lang w:val="en-US"/>
        </w:rPr>
        <w:t>The Politics of Language in the Spanish-Speaking World</w:t>
      </w:r>
      <w:r w:rsidRPr="00B80F7E">
        <w:rPr>
          <w:rFonts w:ascii="Times New Roman" w:hAnsi="Times New Roman"/>
          <w:sz w:val="20"/>
          <w:szCs w:val="20"/>
          <w:lang w:val="en-US"/>
        </w:rPr>
        <w:t>, New York, Routledge.</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Mar-Molinero, C. (2007): «Derechos lingüísticos, política lingüística y planificación lingüística en el mundo de habla hispana», in M. Lacorte (coord.), </w:t>
      </w:r>
      <w:r w:rsidRPr="00B80F7E">
        <w:rPr>
          <w:rFonts w:ascii="Times New Roman" w:hAnsi="Times New Roman"/>
          <w:i/>
          <w:sz w:val="20"/>
          <w:szCs w:val="20"/>
          <w:lang w:val="es-ES"/>
        </w:rPr>
        <w:t>Lingüística aplicada del español</w:t>
      </w:r>
      <w:r w:rsidRPr="00B80F7E">
        <w:rPr>
          <w:rFonts w:ascii="Times New Roman" w:hAnsi="Times New Roman"/>
          <w:sz w:val="20"/>
          <w:szCs w:val="20"/>
          <w:lang w:val="es-ES"/>
        </w:rPr>
        <w:t>, Madrid, Arco/Libros, 347-375.</w:t>
      </w:r>
    </w:p>
    <w:p w:rsidR="00536DEC" w:rsidRPr="00B80F7E" w:rsidRDefault="00536DEC" w:rsidP="00427E92">
      <w:pPr>
        <w:tabs>
          <w:tab w:val="right" w:pos="9072"/>
        </w:tabs>
        <w:spacing w:after="0" w:line="240" w:lineRule="auto"/>
        <w:jc w:val="both"/>
        <w:rPr>
          <w:rFonts w:ascii="Times New Roman" w:hAnsi="Times New Roman"/>
          <w:sz w:val="20"/>
          <w:szCs w:val="20"/>
          <w:lang w:val="es-ES"/>
        </w:rPr>
      </w:pPr>
      <w:r w:rsidRPr="00B80F7E">
        <w:rPr>
          <w:rFonts w:ascii="Times New Roman" w:hAnsi="Times New Roman"/>
          <w:sz w:val="20"/>
          <w:szCs w:val="20"/>
          <w:lang w:val="es-ES"/>
        </w:rPr>
        <w:t xml:space="preserve">Salvador, G. (1992): </w:t>
      </w:r>
      <w:r w:rsidRPr="00B80F7E">
        <w:rPr>
          <w:rFonts w:ascii="Times New Roman" w:hAnsi="Times New Roman"/>
          <w:i/>
          <w:sz w:val="20"/>
          <w:szCs w:val="20"/>
          <w:lang w:val="es-ES"/>
        </w:rPr>
        <w:t>Política lingüística y sentido común</w:t>
      </w:r>
      <w:r w:rsidRPr="00B80F7E">
        <w:rPr>
          <w:rFonts w:ascii="Times New Roman" w:hAnsi="Times New Roman"/>
          <w:sz w:val="20"/>
          <w:szCs w:val="20"/>
          <w:lang w:val="es-ES"/>
        </w:rPr>
        <w:t>, Madrid, Istmo.</w:t>
      </w:r>
    </w:p>
    <w:p w:rsidR="00536DEC" w:rsidRPr="00B80F7E" w:rsidRDefault="00536DEC" w:rsidP="00427E92">
      <w:pPr>
        <w:tabs>
          <w:tab w:val="right" w:pos="9072"/>
        </w:tabs>
        <w:spacing w:after="0" w:line="240" w:lineRule="auto"/>
        <w:jc w:val="both"/>
        <w:rPr>
          <w:rFonts w:ascii="Times New Roman" w:hAnsi="Times New Roman"/>
          <w:sz w:val="20"/>
          <w:szCs w:val="20"/>
          <w:lang w:val="en-US"/>
        </w:rPr>
      </w:pPr>
      <w:r w:rsidRPr="00B80F7E">
        <w:rPr>
          <w:rFonts w:ascii="Times New Roman" w:hAnsi="Times New Roman"/>
          <w:sz w:val="20"/>
          <w:szCs w:val="20"/>
          <w:lang w:val="de-DE"/>
        </w:rPr>
        <w:t xml:space="preserve">Skutnabb-Kangas, T., R. Phillipson (eds.) </w:t>
      </w:r>
      <w:r w:rsidRPr="00B80F7E">
        <w:rPr>
          <w:rFonts w:ascii="Times New Roman" w:hAnsi="Times New Roman"/>
          <w:sz w:val="20"/>
          <w:szCs w:val="20"/>
          <w:lang w:val="en-US"/>
        </w:rPr>
        <w:t xml:space="preserve">(1994): </w:t>
      </w:r>
      <w:r w:rsidRPr="00B80F7E">
        <w:rPr>
          <w:rFonts w:ascii="Times New Roman" w:hAnsi="Times New Roman"/>
          <w:i/>
          <w:sz w:val="20"/>
          <w:szCs w:val="20"/>
          <w:lang w:val="en-US"/>
        </w:rPr>
        <w:t>Linguistic Human Rights: Overcoming Linguistic Discrimination</w:t>
      </w:r>
      <w:r w:rsidRPr="00B80F7E">
        <w:rPr>
          <w:rFonts w:ascii="Times New Roman" w:hAnsi="Times New Roman"/>
          <w:sz w:val="20"/>
          <w:szCs w:val="20"/>
          <w:lang w:val="en-US"/>
        </w:rPr>
        <w:t>, Berlin, Mouton de Gruyter.</w:t>
      </w:r>
      <w:bookmarkStart w:id="0" w:name="_GoBack"/>
      <w:bookmarkEnd w:id="0"/>
    </w:p>
    <w:sectPr w:rsidR="00536DEC" w:rsidRPr="00B80F7E" w:rsidSect="00B80F7E">
      <w:type w:val="continuous"/>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DEC" w:rsidRDefault="00536DEC" w:rsidP="00BC4DCB">
      <w:pPr>
        <w:spacing w:after="0" w:line="240" w:lineRule="auto"/>
      </w:pPr>
      <w:r>
        <w:separator/>
      </w:r>
    </w:p>
  </w:endnote>
  <w:endnote w:type="continuationSeparator" w:id="0">
    <w:p w:rsidR="00536DEC" w:rsidRDefault="00536DEC" w:rsidP="00BC4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EC" w:rsidRDefault="00536DEC">
    <w:pPr>
      <w:pStyle w:val="Footer"/>
      <w:jc w:val="right"/>
    </w:pPr>
    <w:fldSimple w:instr="PAGE   \* MERGEFORMAT">
      <w:r>
        <w:rPr>
          <w:noProof/>
        </w:rPr>
        <w:t>1</w:t>
      </w:r>
    </w:fldSimple>
  </w:p>
  <w:p w:rsidR="00536DEC" w:rsidRDefault="00536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DEC" w:rsidRDefault="00536DEC" w:rsidP="00BC4DCB">
      <w:pPr>
        <w:spacing w:after="0" w:line="240" w:lineRule="auto"/>
      </w:pPr>
      <w:r>
        <w:separator/>
      </w:r>
    </w:p>
  </w:footnote>
  <w:footnote w:type="continuationSeparator" w:id="0">
    <w:p w:rsidR="00536DEC" w:rsidRDefault="00536DEC" w:rsidP="00BC4D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56287"/>
    <w:multiLevelType w:val="hybridMultilevel"/>
    <w:tmpl w:val="09B0F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3F0F08"/>
    <w:multiLevelType w:val="hybridMultilevel"/>
    <w:tmpl w:val="3A9266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66621E4"/>
    <w:multiLevelType w:val="hybridMultilevel"/>
    <w:tmpl w:val="ABE62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96F280A"/>
    <w:multiLevelType w:val="hybridMultilevel"/>
    <w:tmpl w:val="84B22F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D4D6A02"/>
    <w:multiLevelType w:val="hybridMultilevel"/>
    <w:tmpl w:val="1882AE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D907437"/>
    <w:multiLevelType w:val="hybridMultilevel"/>
    <w:tmpl w:val="3FB807F2"/>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DD01C26"/>
    <w:multiLevelType w:val="hybridMultilevel"/>
    <w:tmpl w:val="E6B0AA4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2A02F2A"/>
    <w:multiLevelType w:val="hybridMultilevel"/>
    <w:tmpl w:val="1CEE44F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95A471B"/>
    <w:multiLevelType w:val="hybridMultilevel"/>
    <w:tmpl w:val="264A3B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D4D4CA8"/>
    <w:multiLevelType w:val="hybridMultilevel"/>
    <w:tmpl w:val="247AA3F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E2F259C"/>
    <w:multiLevelType w:val="hybridMultilevel"/>
    <w:tmpl w:val="1DF49C9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B575754"/>
    <w:multiLevelType w:val="hybridMultilevel"/>
    <w:tmpl w:val="12F6E6F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BC011B6"/>
    <w:multiLevelType w:val="hybridMultilevel"/>
    <w:tmpl w:val="C09461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EA954D6"/>
    <w:multiLevelType w:val="hybridMultilevel"/>
    <w:tmpl w:val="A768DF3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5F4100B9"/>
    <w:multiLevelType w:val="hybridMultilevel"/>
    <w:tmpl w:val="DD20B70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56523A8"/>
    <w:multiLevelType w:val="hybridMultilevel"/>
    <w:tmpl w:val="3894E9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56D596B"/>
    <w:multiLevelType w:val="hybridMultilevel"/>
    <w:tmpl w:val="55E80496"/>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6D302B0"/>
    <w:multiLevelType w:val="hybridMultilevel"/>
    <w:tmpl w:val="B460692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A5D3EA7"/>
    <w:multiLevelType w:val="hybridMultilevel"/>
    <w:tmpl w:val="9148E4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B9C7D5D"/>
    <w:multiLevelType w:val="hybridMultilevel"/>
    <w:tmpl w:val="7AC0B1D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5034877"/>
    <w:multiLevelType w:val="hybridMultilevel"/>
    <w:tmpl w:val="74741A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8C90389"/>
    <w:multiLevelType w:val="hybridMultilevel"/>
    <w:tmpl w:val="75C8DD2C"/>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7B331F68"/>
    <w:multiLevelType w:val="hybridMultilevel"/>
    <w:tmpl w:val="472AABAE"/>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8"/>
  </w:num>
  <w:num w:numId="4">
    <w:abstractNumId w:val="12"/>
  </w:num>
  <w:num w:numId="5">
    <w:abstractNumId w:val="3"/>
  </w:num>
  <w:num w:numId="6">
    <w:abstractNumId w:val="1"/>
  </w:num>
  <w:num w:numId="7">
    <w:abstractNumId w:val="2"/>
  </w:num>
  <w:num w:numId="8">
    <w:abstractNumId w:val="7"/>
  </w:num>
  <w:num w:numId="9">
    <w:abstractNumId w:val="6"/>
  </w:num>
  <w:num w:numId="10">
    <w:abstractNumId w:val="16"/>
  </w:num>
  <w:num w:numId="11">
    <w:abstractNumId w:val="5"/>
  </w:num>
  <w:num w:numId="12">
    <w:abstractNumId w:val="18"/>
  </w:num>
  <w:num w:numId="13">
    <w:abstractNumId w:val="17"/>
  </w:num>
  <w:num w:numId="14">
    <w:abstractNumId w:val="14"/>
  </w:num>
  <w:num w:numId="15">
    <w:abstractNumId w:val="22"/>
  </w:num>
  <w:num w:numId="16">
    <w:abstractNumId w:val="20"/>
  </w:num>
  <w:num w:numId="17">
    <w:abstractNumId w:val="9"/>
  </w:num>
  <w:num w:numId="18">
    <w:abstractNumId w:val="15"/>
  </w:num>
  <w:num w:numId="19">
    <w:abstractNumId w:val="4"/>
  </w:num>
  <w:num w:numId="20">
    <w:abstractNumId w:val="19"/>
  </w:num>
  <w:num w:numId="21">
    <w:abstractNumId w:val="10"/>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F09"/>
    <w:rsid w:val="00000F0D"/>
    <w:rsid w:val="00001B61"/>
    <w:rsid w:val="00006C24"/>
    <w:rsid w:val="0005602F"/>
    <w:rsid w:val="000A0D91"/>
    <w:rsid w:val="000B2CE5"/>
    <w:rsid w:val="000B6A3D"/>
    <w:rsid w:val="000F5A49"/>
    <w:rsid w:val="000F6341"/>
    <w:rsid w:val="001313F9"/>
    <w:rsid w:val="001603B6"/>
    <w:rsid w:val="00176886"/>
    <w:rsid w:val="001A6921"/>
    <w:rsid w:val="001B1B99"/>
    <w:rsid w:val="001D341D"/>
    <w:rsid w:val="001E1CFB"/>
    <w:rsid w:val="00234106"/>
    <w:rsid w:val="0023799D"/>
    <w:rsid w:val="0025453C"/>
    <w:rsid w:val="00294E9D"/>
    <w:rsid w:val="0029784A"/>
    <w:rsid w:val="002A19D0"/>
    <w:rsid w:val="002F3FB5"/>
    <w:rsid w:val="00301EB9"/>
    <w:rsid w:val="003631EE"/>
    <w:rsid w:val="003667B7"/>
    <w:rsid w:val="00387DA3"/>
    <w:rsid w:val="003B4B19"/>
    <w:rsid w:val="003B5367"/>
    <w:rsid w:val="00423DE5"/>
    <w:rsid w:val="00427E92"/>
    <w:rsid w:val="00440A44"/>
    <w:rsid w:val="00446B74"/>
    <w:rsid w:val="00453431"/>
    <w:rsid w:val="00491584"/>
    <w:rsid w:val="00493624"/>
    <w:rsid w:val="004C5562"/>
    <w:rsid w:val="004D29E1"/>
    <w:rsid w:val="004D5D44"/>
    <w:rsid w:val="004F7C5B"/>
    <w:rsid w:val="005048B2"/>
    <w:rsid w:val="00507F86"/>
    <w:rsid w:val="005203C3"/>
    <w:rsid w:val="00522883"/>
    <w:rsid w:val="00532373"/>
    <w:rsid w:val="00536DEC"/>
    <w:rsid w:val="0057710E"/>
    <w:rsid w:val="0058368E"/>
    <w:rsid w:val="005A0613"/>
    <w:rsid w:val="005B4BDE"/>
    <w:rsid w:val="0060450F"/>
    <w:rsid w:val="0062206B"/>
    <w:rsid w:val="00657736"/>
    <w:rsid w:val="0069633B"/>
    <w:rsid w:val="00697EA9"/>
    <w:rsid w:val="00705CB9"/>
    <w:rsid w:val="00713067"/>
    <w:rsid w:val="00727FA4"/>
    <w:rsid w:val="00732DE6"/>
    <w:rsid w:val="00776AE1"/>
    <w:rsid w:val="007C7C49"/>
    <w:rsid w:val="007E3820"/>
    <w:rsid w:val="007F7D4E"/>
    <w:rsid w:val="00817753"/>
    <w:rsid w:val="00832D9B"/>
    <w:rsid w:val="008E4A53"/>
    <w:rsid w:val="00970AC6"/>
    <w:rsid w:val="0098259F"/>
    <w:rsid w:val="009E7BCF"/>
    <w:rsid w:val="00A20357"/>
    <w:rsid w:val="00A76B82"/>
    <w:rsid w:val="00AA087D"/>
    <w:rsid w:val="00AB251D"/>
    <w:rsid w:val="00AC7006"/>
    <w:rsid w:val="00AE5B0E"/>
    <w:rsid w:val="00B25E2E"/>
    <w:rsid w:val="00B554B6"/>
    <w:rsid w:val="00B55B26"/>
    <w:rsid w:val="00B80F7E"/>
    <w:rsid w:val="00B92A9F"/>
    <w:rsid w:val="00B97C66"/>
    <w:rsid w:val="00BB6956"/>
    <w:rsid w:val="00BC0A3C"/>
    <w:rsid w:val="00BC4DCB"/>
    <w:rsid w:val="00BF2642"/>
    <w:rsid w:val="00BF460C"/>
    <w:rsid w:val="00BF4D3C"/>
    <w:rsid w:val="00C051C6"/>
    <w:rsid w:val="00C14FB2"/>
    <w:rsid w:val="00C35C96"/>
    <w:rsid w:val="00C36E93"/>
    <w:rsid w:val="00C4650A"/>
    <w:rsid w:val="00C85EB1"/>
    <w:rsid w:val="00CB066E"/>
    <w:rsid w:val="00CB1BC6"/>
    <w:rsid w:val="00CB21C6"/>
    <w:rsid w:val="00D032D0"/>
    <w:rsid w:val="00D03FFF"/>
    <w:rsid w:val="00D10AA2"/>
    <w:rsid w:val="00D210F8"/>
    <w:rsid w:val="00D32104"/>
    <w:rsid w:val="00D32C3C"/>
    <w:rsid w:val="00D45332"/>
    <w:rsid w:val="00D47180"/>
    <w:rsid w:val="00D50141"/>
    <w:rsid w:val="00D94545"/>
    <w:rsid w:val="00DC2925"/>
    <w:rsid w:val="00DD3E56"/>
    <w:rsid w:val="00DE07F0"/>
    <w:rsid w:val="00E0100A"/>
    <w:rsid w:val="00E05F09"/>
    <w:rsid w:val="00E30385"/>
    <w:rsid w:val="00E371D3"/>
    <w:rsid w:val="00E56770"/>
    <w:rsid w:val="00E8507C"/>
    <w:rsid w:val="00EB71AE"/>
    <w:rsid w:val="00ED58DC"/>
    <w:rsid w:val="00F01EB7"/>
    <w:rsid w:val="00F47D62"/>
    <w:rsid w:val="00F64C74"/>
    <w:rsid w:val="00FB47D8"/>
    <w:rsid w:val="00FE4286"/>
    <w:rsid w:val="00FF1D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8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48B2"/>
    <w:pPr>
      <w:ind w:left="720"/>
      <w:contextualSpacing/>
    </w:pPr>
  </w:style>
  <w:style w:type="table" w:styleId="TableGrid">
    <w:name w:val="Table Grid"/>
    <w:basedOn w:val="TableNormal"/>
    <w:uiPriority w:val="99"/>
    <w:rsid w:val="00AB25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C4DC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C4DCB"/>
    <w:rPr>
      <w:rFonts w:cs="Times New Roman"/>
    </w:rPr>
  </w:style>
  <w:style w:type="paragraph" w:styleId="Footer">
    <w:name w:val="footer"/>
    <w:basedOn w:val="Normal"/>
    <w:link w:val="FooterChar"/>
    <w:uiPriority w:val="99"/>
    <w:rsid w:val="00BC4DC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C4DC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1834</TotalTime>
  <Pages>5</Pages>
  <Words>1692</Words>
  <Characters>9985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Ivo - Buzek</cp:lastModifiedBy>
  <cp:revision>76</cp:revision>
  <dcterms:created xsi:type="dcterms:W3CDTF">2013-02-21T10:38:00Z</dcterms:created>
  <dcterms:modified xsi:type="dcterms:W3CDTF">2013-11-22T21:40:00Z</dcterms:modified>
</cp:coreProperties>
</file>