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3E41" w:rsidRPr="00EF3E41" w:rsidRDefault="00EF3E41" w:rsidP="00EF3E41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val="cs-CZ" w:eastAsia="cs-CZ"/>
        </w:rPr>
      </w:pPr>
      <w:r w:rsidRPr="00EF3E41">
        <w:rPr>
          <w:rFonts w:ascii="Times New Roman" w:eastAsia="Times New Roman" w:hAnsi="Times New Roman" w:cs="Times New Roman"/>
          <w:b/>
          <w:bCs/>
          <w:sz w:val="27"/>
          <w:szCs w:val="27"/>
          <w:lang w:val="cs-CZ" w:eastAsia="cs-CZ"/>
        </w:rPr>
        <w:t xml:space="preserve">Der </w:t>
      </w:r>
      <w:proofErr w:type="spellStart"/>
      <w:r w:rsidRPr="00EF3E41">
        <w:rPr>
          <w:rFonts w:ascii="Times New Roman" w:eastAsia="Times New Roman" w:hAnsi="Times New Roman" w:cs="Times New Roman"/>
          <w:b/>
          <w:bCs/>
          <w:sz w:val="27"/>
          <w:szCs w:val="27"/>
          <w:lang w:val="cs-CZ" w:eastAsia="cs-CZ"/>
        </w:rPr>
        <w:t>Pavillon</w:t>
      </w:r>
      <w:proofErr w:type="spellEnd"/>
      <w:r w:rsidRPr="00EF3E41">
        <w:rPr>
          <w:rFonts w:ascii="Times New Roman" w:eastAsia="Times New Roman" w:hAnsi="Times New Roman" w:cs="Times New Roman"/>
          <w:b/>
          <w:bCs/>
          <w:sz w:val="27"/>
          <w:szCs w:val="27"/>
          <w:lang w:val="cs-CZ" w:eastAsia="cs-CZ"/>
        </w:rPr>
        <w:t xml:space="preserve"> des k. u. </w:t>
      </w:r>
      <w:proofErr w:type="gramStart"/>
      <w:r w:rsidRPr="00EF3E41">
        <w:rPr>
          <w:rFonts w:ascii="Times New Roman" w:eastAsia="Times New Roman" w:hAnsi="Times New Roman" w:cs="Times New Roman"/>
          <w:b/>
          <w:bCs/>
          <w:sz w:val="27"/>
          <w:szCs w:val="27"/>
          <w:lang w:val="cs-CZ" w:eastAsia="cs-CZ"/>
        </w:rPr>
        <w:t>k.</w:t>
      </w:r>
      <w:proofErr w:type="gramEnd"/>
      <w:r w:rsidRPr="00EF3E41">
        <w:rPr>
          <w:rFonts w:ascii="Times New Roman" w:eastAsia="Times New Roman" w:hAnsi="Times New Roman" w:cs="Times New Roman"/>
          <w:b/>
          <w:bCs/>
          <w:sz w:val="27"/>
          <w:szCs w:val="27"/>
          <w:lang w:val="cs-CZ" w:eastAsia="cs-CZ"/>
        </w:rPr>
        <w:t xml:space="preserve"> </w:t>
      </w:r>
      <w:proofErr w:type="spellStart"/>
      <w:r w:rsidRPr="00EF3E41">
        <w:rPr>
          <w:rFonts w:ascii="Times New Roman" w:eastAsia="Times New Roman" w:hAnsi="Times New Roman" w:cs="Times New Roman"/>
          <w:b/>
          <w:bCs/>
          <w:sz w:val="27"/>
          <w:szCs w:val="27"/>
          <w:lang w:val="cs-CZ" w:eastAsia="cs-CZ"/>
        </w:rPr>
        <w:t>Allerhöchsten</w:t>
      </w:r>
      <w:proofErr w:type="spellEnd"/>
      <w:r w:rsidRPr="00EF3E41">
        <w:rPr>
          <w:rFonts w:ascii="Times New Roman" w:eastAsia="Times New Roman" w:hAnsi="Times New Roman" w:cs="Times New Roman"/>
          <w:b/>
          <w:bCs/>
          <w:sz w:val="27"/>
          <w:szCs w:val="27"/>
          <w:lang w:val="cs-CZ" w:eastAsia="cs-CZ"/>
        </w:rPr>
        <w:t xml:space="preserve"> </w:t>
      </w:r>
      <w:proofErr w:type="spellStart"/>
      <w:r w:rsidRPr="00EF3E41">
        <w:rPr>
          <w:rFonts w:ascii="Times New Roman" w:eastAsia="Times New Roman" w:hAnsi="Times New Roman" w:cs="Times New Roman"/>
          <w:b/>
          <w:bCs/>
          <w:sz w:val="27"/>
          <w:szCs w:val="27"/>
          <w:lang w:val="cs-CZ" w:eastAsia="cs-CZ"/>
        </w:rPr>
        <w:t>Hofes</w:t>
      </w:r>
      <w:proofErr w:type="spellEnd"/>
      <w:r w:rsidRPr="00EF3E41">
        <w:rPr>
          <w:rFonts w:ascii="Times New Roman" w:eastAsia="Times New Roman" w:hAnsi="Times New Roman" w:cs="Times New Roman"/>
          <w:b/>
          <w:bCs/>
          <w:sz w:val="27"/>
          <w:szCs w:val="27"/>
          <w:lang w:val="cs-CZ" w:eastAsia="cs-CZ"/>
        </w:rPr>
        <w:t xml:space="preserve"> in </w:t>
      </w:r>
      <w:proofErr w:type="spellStart"/>
      <w:r w:rsidRPr="00EF3E41">
        <w:rPr>
          <w:rFonts w:ascii="Times New Roman" w:eastAsia="Times New Roman" w:hAnsi="Times New Roman" w:cs="Times New Roman"/>
          <w:b/>
          <w:bCs/>
          <w:sz w:val="27"/>
          <w:szCs w:val="27"/>
          <w:lang w:val="cs-CZ" w:eastAsia="cs-CZ"/>
        </w:rPr>
        <w:t>Hietzing</w:t>
      </w:r>
      <w:proofErr w:type="spellEnd"/>
    </w:p>
    <w:p w:rsidR="00310476" w:rsidRDefault="00310476">
      <w:pPr>
        <w:rPr>
          <w:lang w:val="cs-CZ"/>
        </w:rPr>
      </w:pPr>
    </w:p>
    <w:p w:rsidR="00EF3E41" w:rsidRDefault="00EF3E41">
      <w:pPr>
        <w:rPr>
          <w:lang w:val="cs-CZ"/>
        </w:rPr>
      </w:pPr>
      <w:r>
        <w:rPr>
          <w:noProof/>
          <w:lang w:val="cs-CZ" w:eastAsia="cs-CZ"/>
        </w:rPr>
        <w:drawing>
          <wp:inline distT="0" distB="0" distL="0" distR="0">
            <wp:extent cx="5760720" cy="3170506"/>
            <wp:effectExtent l="0" t="0" r="0" b="0"/>
            <wp:docPr id="1" name="Obrázek 1" descr="http://www.stadtbekannt.at/wp-content/uploads/2014/06/Hofpavillon-Hietzing-Zeichnung-c-STADTBEKANNT-Engstl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tadtbekannt.at/wp-content/uploads/2014/06/Hofpavillon-Hietzing-Zeichnung-c-STADTBEKANNT-Engstler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170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3E41" w:rsidRDefault="00EF3E41">
      <w:pPr>
        <w:rPr>
          <w:lang w:val="cs-CZ"/>
        </w:rPr>
      </w:pPr>
    </w:p>
    <w:p w:rsidR="00EF3E41" w:rsidRDefault="00EF3E41">
      <w:r>
        <w:t>Welchem Baustil wird folgender Pavillon der Stadtbahn zugeordnet?</w:t>
      </w:r>
    </w:p>
    <w:p w:rsidR="00EF3E41" w:rsidRDefault="00EF3E41">
      <w:r>
        <w:t xml:space="preserve">Wo liegt </w:t>
      </w:r>
      <w:proofErr w:type="spellStart"/>
      <w:r>
        <w:t>Hietzing</w:t>
      </w:r>
      <w:proofErr w:type="spellEnd"/>
      <w:r>
        <w:t>?</w:t>
      </w:r>
    </w:p>
    <w:p w:rsidR="00EF3E41" w:rsidRDefault="00EF3E41">
      <w:r>
        <w:t xml:space="preserve">Der Bau der Stadtbahn war das größte Infrastrukturprojekt in Wien um 1900. </w:t>
      </w:r>
    </w:p>
    <w:p w:rsidR="00EF3E41" w:rsidRDefault="00EF3E41">
      <w:r>
        <w:t>Otto Wagner (1841-1918), der Wegbereiter der modernen Architektur, wurde mit der künstlerischen Gestaltung des neuen Massenverkehrsmittels betraut</w:t>
      </w:r>
      <w:r>
        <w:t xml:space="preserve">. </w:t>
      </w:r>
      <w:r>
        <w:t xml:space="preserve">Der 1899 vollendete Bau erhielt ein unverwechselbares, repräsentatives Äußeres und eine kostbare Innenausstattung im </w:t>
      </w:r>
      <w:r>
        <w:t>_________</w:t>
      </w:r>
      <w:proofErr w:type="spellStart"/>
      <w:r>
        <w:t>stil</w:t>
      </w:r>
      <w:proofErr w:type="spellEnd"/>
      <w:r>
        <w:t>, die ganz auf die Bedürfnisse des Kaisers abgestimmt war.</w:t>
      </w:r>
      <w:r>
        <w:br/>
      </w:r>
      <w:r>
        <w:br/>
        <w:t>Dass der Kaiser den Pavillon allerdings nur zwei Mal für eine Fahrt mit der Stadtbahn nutzte, war für Otto Wagner sekundär: Im Vordergrund stand der imperiale Glanz, der auf dem kleinen Bauwerk lag und der modernen Architektur zum Durchbruch verhelfen sollte.</w:t>
      </w:r>
      <w:r>
        <w:br/>
      </w:r>
      <w:r>
        <w:br/>
        <w:t xml:space="preserve">Nach aufwendigen Sanierungs- und Restaurierungsarbeiten ist der Hofpavillon </w:t>
      </w:r>
      <w:proofErr w:type="spellStart"/>
      <w:r>
        <w:t>Hietzing</w:t>
      </w:r>
      <w:proofErr w:type="spellEnd"/>
      <w:r>
        <w:t xml:space="preserve"> wieder für den Besuch geöffnet. Er vermittelt ein eindrucksvoll konzentriertes Bild von Otto Wagners künstlerischer Haltung, die zu einem Ausgangspunkt für die moderne Architektur des 20. Jahrhunderts werden sollte.</w:t>
      </w:r>
    </w:p>
    <w:p w:rsidR="00EF3E41" w:rsidRDefault="00EF3E41">
      <w:r>
        <w:t>Welche Bauten stammen nicht von Otto Wagner?</w:t>
      </w:r>
    </w:p>
    <w:p w:rsidR="00EF3E41" w:rsidRDefault="00EF3E41"/>
    <w:p w:rsidR="00EF3E41" w:rsidRDefault="00EF3E41"/>
    <w:p w:rsidR="00EF3E41" w:rsidRDefault="00796754">
      <w:r>
        <w:rPr>
          <w:noProof/>
          <w:lang w:val="cs-CZ" w:eastAsia="cs-CZ"/>
        </w:rPr>
        <w:lastRenderedPageBreak/>
        <w:drawing>
          <wp:inline distT="0" distB="0" distL="0" distR="0">
            <wp:extent cx="1569600" cy="1177200"/>
            <wp:effectExtent l="0" t="0" r="0" b="444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24px-Otto_Wagner_zweite_Villa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9600" cy="117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796754" w:rsidRDefault="00796754"/>
    <w:p w:rsidR="00796754" w:rsidRDefault="00796754" w:rsidP="00796754">
      <w:pPr>
        <w:jc w:val="both"/>
      </w:pPr>
      <w:r>
        <w:rPr>
          <w:noProof/>
          <w:lang w:val="cs-CZ" w:eastAsia="cs-CZ"/>
        </w:rPr>
        <w:drawing>
          <wp:inline distT="0" distB="0" distL="0" distR="0">
            <wp:extent cx="2880000" cy="2160000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einhofkirche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3E41" w:rsidRDefault="00EF3E41">
      <w:pPr>
        <w:rPr>
          <w:lang w:val="cs-CZ"/>
        </w:rPr>
      </w:pPr>
    </w:p>
    <w:p w:rsidR="00796754" w:rsidRDefault="00796754">
      <w:pPr>
        <w:rPr>
          <w:lang w:val="cs-CZ"/>
        </w:rPr>
      </w:pPr>
      <w:r>
        <w:rPr>
          <w:noProof/>
          <w:lang w:val="cs-CZ" w:eastAsia="cs-CZ"/>
        </w:rPr>
        <w:drawing>
          <wp:inline distT="0" distB="0" distL="0" distR="0">
            <wp:extent cx="1213200" cy="1616400"/>
            <wp:effectExtent l="0" t="0" r="6350" b="317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eggasse_Miethaus_Langer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3200" cy="161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6754" w:rsidRDefault="00796754">
      <w:pPr>
        <w:rPr>
          <w:lang w:val="cs-CZ"/>
        </w:rPr>
      </w:pPr>
      <w:r>
        <w:rPr>
          <w:noProof/>
          <w:lang w:val="cs-CZ" w:eastAsia="cs-CZ"/>
        </w:rPr>
        <w:drawing>
          <wp:inline distT="0" distB="0" distL="0" distR="0">
            <wp:extent cx="1116000" cy="1040400"/>
            <wp:effectExtent l="0" t="0" r="8255" b="762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Österreichische_Postsparkasse,_Georg-Coch-Platz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6000" cy="104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6754" w:rsidRPr="00EF3E41" w:rsidRDefault="00796754">
      <w:pPr>
        <w:rPr>
          <w:lang w:val="cs-CZ"/>
        </w:rPr>
      </w:pPr>
      <w:bookmarkStart w:id="0" w:name="_GoBack"/>
      <w:r>
        <w:rPr>
          <w:noProof/>
          <w:lang w:val="cs-CZ" w:eastAsia="cs-CZ"/>
        </w:rPr>
        <w:drawing>
          <wp:inline distT="0" distB="0" distL="0" distR="0">
            <wp:extent cx="2149200" cy="1425600"/>
            <wp:effectExtent l="0" t="0" r="3810" b="3175"/>
            <wp:docPr id="8" name="Obrázek 8" descr="Image result for oLBRICH sEZESS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oLBRICH sEZESSION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9200" cy="142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796754" w:rsidRPr="00EF3E4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3E41"/>
    <w:rsid w:val="00310476"/>
    <w:rsid w:val="00796754"/>
    <w:rsid w:val="00EF3E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Pr>
      <w:lang w:val="de-DE"/>
    </w:rPr>
  </w:style>
  <w:style w:type="paragraph" w:styleId="Nadpis3">
    <w:name w:val="heading 3"/>
    <w:basedOn w:val="Normln"/>
    <w:link w:val="Nadpis3Char"/>
    <w:uiPriority w:val="9"/>
    <w:qFormat/>
    <w:rsid w:val="00EF3E4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val="cs-CZ"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3Char">
    <w:name w:val="Nadpis 3 Char"/>
    <w:basedOn w:val="Standardnpsmoodstavce"/>
    <w:link w:val="Nadpis3"/>
    <w:uiPriority w:val="9"/>
    <w:rsid w:val="00EF3E41"/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EF3E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F3E41"/>
    <w:rPr>
      <w:rFonts w:ascii="Tahoma" w:hAnsi="Tahoma" w:cs="Tahoma"/>
      <w:sz w:val="16"/>
      <w:szCs w:val="16"/>
      <w:lang w:val="de-D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Pr>
      <w:lang w:val="de-DE"/>
    </w:rPr>
  </w:style>
  <w:style w:type="paragraph" w:styleId="Nadpis3">
    <w:name w:val="heading 3"/>
    <w:basedOn w:val="Normln"/>
    <w:link w:val="Nadpis3Char"/>
    <w:uiPriority w:val="9"/>
    <w:qFormat/>
    <w:rsid w:val="00EF3E4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val="cs-CZ"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3Char">
    <w:name w:val="Nadpis 3 Char"/>
    <w:basedOn w:val="Standardnpsmoodstavce"/>
    <w:link w:val="Nadpis3"/>
    <w:uiPriority w:val="9"/>
    <w:rsid w:val="00EF3E41"/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EF3E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F3E41"/>
    <w:rPr>
      <w:rFonts w:ascii="Tahoma" w:hAnsi="Tahoma" w:cs="Tahoma"/>
      <w:sz w:val="16"/>
      <w:szCs w:val="16"/>
      <w:lang w:val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45543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2</Pages>
  <Words>171</Words>
  <Characters>1012</Characters>
  <Application>Microsoft Office Word</Application>
  <DocSecurity>0</DocSecurity>
  <Lines>8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Nadpisy</vt:lpstr>
      </vt:variant>
      <vt:variant>
        <vt:i4>1</vt:i4>
      </vt:variant>
    </vt:vector>
  </HeadingPairs>
  <TitlesOfParts>
    <vt:vector size="2" baseType="lpstr">
      <vt:lpstr/>
      <vt:lpstr>        Der Pavillon des k. u. k. Allerhöchsten Hofes in Hietzing</vt:lpstr>
    </vt:vector>
  </TitlesOfParts>
  <Company>UVT MU</Company>
  <LinksUpToDate>false</LinksUpToDate>
  <CharactersWithSpaces>1181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Zdeněk Mareček</dc:creator>
  <cp:lastModifiedBy>Zdeněk Mareček</cp:lastModifiedBy>
  <cp:revision>1</cp:revision>
  <dcterms:created xsi:type="dcterms:W3CDTF">2016-11-07T19:02:00Z</dcterms:created>
  <dcterms:modified xsi:type="dcterms:W3CDTF">2016-11-07T19:30:00Z</dcterms:modified>
</cp:coreProperties>
</file>