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1C7" w:rsidRPr="007461C7" w:rsidRDefault="007461C7" w:rsidP="007461C7">
      <w:pPr>
        <w:pStyle w:val="Nadpis"/>
        <w:rPr>
          <w:lang w:val="en-US"/>
        </w:rPr>
      </w:pPr>
      <w:r w:rsidRPr="007461C7">
        <w:rPr>
          <w:lang w:val="en-US"/>
        </w:rPr>
        <w:t xml:space="preserve">Ludwig Wittgenstein: </w:t>
      </w:r>
      <w:r w:rsidRPr="008E14E6">
        <w:rPr>
          <w:i/>
          <w:lang w:val="en-US"/>
        </w:rPr>
        <w:t>Philosophical Investigations</w:t>
      </w:r>
    </w:p>
    <w:p w:rsidR="008E14E6" w:rsidRPr="008E14E6" w:rsidRDefault="008E14E6" w:rsidP="008E14E6">
      <w:pPr>
        <w:pStyle w:val="Funkce"/>
        <w:numPr>
          <w:ilvl w:val="0"/>
          <w:numId w:val="2"/>
        </w:numPr>
        <w:rPr>
          <w:lang w:val="en-US"/>
        </w:rPr>
      </w:pPr>
      <w:r>
        <w:rPr>
          <w:lang w:val="en-US"/>
        </w:rPr>
        <w:t>Published posthumously in 1953</w:t>
      </w:r>
    </w:p>
    <w:p w:rsidR="007461C7" w:rsidRDefault="004A1A8C" w:rsidP="008E14E6">
      <w:pPr>
        <w:pStyle w:val="Nadpis4"/>
        <w:rPr>
          <w:lang w:val="en-US"/>
        </w:rPr>
      </w:pPr>
      <w:r>
        <w:rPr>
          <w:lang w:val="en-US"/>
        </w:rPr>
        <w:t>S</w:t>
      </w:r>
      <w:r w:rsidR="007461C7">
        <w:rPr>
          <w:lang w:val="en-US"/>
        </w:rPr>
        <w:t>tyle</w:t>
      </w:r>
      <w:r>
        <w:rPr>
          <w:lang w:val="en-US"/>
        </w:rPr>
        <w:t xml:space="preserve"> and method</w:t>
      </w:r>
    </w:p>
    <w:p w:rsidR="007555FB" w:rsidRDefault="007555FB" w:rsidP="000B4507">
      <w:pPr>
        <w:pStyle w:val="Nadpis5"/>
        <w:numPr>
          <w:ilvl w:val="0"/>
          <w:numId w:val="2"/>
        </w:numPr>
        <w:rPr>
          <w:lang w:val="en-US"/>
        </w:rPr>
      </w:pPr>
      <w:r>
        <w:rPr>
          <w:lang w:val="en-US"/>
        </w:rPr>
        <w:t>Style</w:t>
      </w:r>
    </w:p>
    <w:p w:rsidR="008E14E6" w:rsidRDefault="008E14E6" w:rsidP="000B4507">
      <w:pPr>
        <w:pStyle w:val="Funkce"/>
        <w:numPr>
          <w:ilvl w:val="1"/>
          <w:numId w:val="2"/>
        </w:numPr>
        <w:rPr>
          <w:lang w:val="en-US"/>
        </w:rPr>
      </w:pPr>
      <w:r>
        <w:rPr>
          <w:lang w:val="en-US"/>
        </w:rPr>
        <w:t>A collection of 693 numbered remarks (</w:t>
      </w:r>
      <w:r w:rsidR="00DA727C">
        <w:rPr>
          <w:lang w:val="en-US"/>
        </w:rPr>
        <w:t xml:space="preserve">from </w:t>
      </w:r>
      <w:r>
        <w:rPr>
          <w:lang w:val="en-US"/>
        </w:rPr>
        <w:t>one sentence up to one page, usually one paragraph long).</w:t>
      </w:r>
    </w:p>
    <w:p w:rsidR="008E14E6" w:rsidRDefault="008E14E6" w:rsidP="000B4507">
      <w:pPr>
        <w:pStyle w:val="Funkce"/>
        <w:numPr>
          <w:ilvl w:val="1"/>
          <w:numId w:val="2"/>
        </w:numPr>
        <w:rPr>
          <w:lang w:val="en-US"/>
        </w:rPr>
      </w:pPr>
      <w:r>
        <w:rPr>
          <w:lang w:val="en-US"/>
        </w:rPr>
        <w:t>These remarks are extracted by Wittgenstein from larger manuscripts (written from 1929 till 1951).</w:t>
      </w:r>
      <w:r w:rsidR="00D9706E">
        <w:rPr>
          <w:lang w:val="en-US"/>
        </w:rPr>
        <w:t xml:space="preserve"> We possess 20 000 pages of these (handwritten or typed) manuscripts.</w:t>
      </w:r>
    </w:p>
    <w:p w:rsidR="008E14E6" w:rsidRDefault="004A1A8C" w:rsidP="000B4507">
      <w:pPr>
        <w:pStyle w:val="Funkce"/>
        <w:numPr>
          <w:ilvl w:val="1"/>
          <w:numId w:val="2"/>
        </w:numPr>
        <w:rPr>
          <w:lang w:val="en-US"/>
        </w:rPr>
      </w:pPr>
      <w:r>
        <w:rPr>
          <w:lang w:val="en-US"/>
        </w:rPr>
        <w:t>There are many chains of remarks elaborating upon a certain topic. There are several breaks where the topic is changed without any explicit notice.</w:t>
      </w:r>
    </w:p>
    <w:p w:rsidR="004A1A8C" w:rsidRDefault="004A1A8C" w:rsidP="000B4507">
      <w:pPr>
        <w:pStyle w:val="Funkce"/>
        <w:numPr>
          <w:ilvl w:val="1"/>
          <w:numId w:val="2"/>
        </w:numPr>
        <w:rPr>
          <w:lang w:val="en-US"/>
        </w:rPr>
      </w:pPr>
      <w:r>
        <w:rPr>
          <w:lang w:val="en-US"/>
        </w:rPr>
        <w:t>Many remarks have the form of a fictional dialogues between two (and occasionally three) partners or “voices”. Sometimes it is not clear which voice is Wittgenstein’s.</w:t>
      </w:r>
    </w:p>
    <w:p w:rsidR="004A1A8C" w:rsidRDefault="004A1A8C" w:rsidP="000B4507">
      <w:pPr>
        <w:pStyle w:val="Funkce"/>
        <w:numPr>
          <w:ilvl w:val="1"/>
          <w:numId w:val="2"/>
        </w:numPr>
        <w:rPr>
          <w:lang w:val="en-US"/>
        </w:rPr>
      </w:pPr>
      <w:r>
        <w:rPr>
          <w:lang w:val="en-US"/>
        </w:rPr>
        <w:t xml:space="preserve">Many remarks end with </w:t>
      </w:r>
      <w:r w:rsidR="00AD0B5F">
        <w:rPr>
          <w:lang w:val="en-US"/>
        </w:rPr>
        <w:t xml:space="preserve">analogies or </w:t>
      </w:r>
      <w:r>
        <w:rPr>
          <w:lang w:val="en-US"/>
        </w:rPr>
        <w:t xml:space="preserve">open questions (that are left </w:t>
      </w:r>
      <w:r w:rsidR="00AD0B5F">
        <w:rPr>
          <w:lang w:val="en-US"/>
        </w:rPr>
        <w:t xml:space="preserve">unexplained or </w:t>
      </w:r>
      <w:r>
        <w:rPr>
          <w:lang w:val="en-US"/>
        </w:rPr>
        <w:t>unanswered).</w:t>
      </w:r>
    </w:p>
    <w:p w:rsidR="00AD0B5F" w:rsidRDefault="00AD0B5F" w:rsidP="000B4507">
      <w:pPr>
        <w:pStyle w:val="Funkce"/>
        <w:numPr>
          <w:ilvl w:val="1"/>
          <w:numId w:val="2"/>
        </w:numPr>
        <w:rPr>
          <w:lang w:val="en-US"/>
        </w:rPr>
      </w:pPr>
      <w:r>
        <w:rPr>
          <w:lang w:val="en-US"/>
        </w:rPr>
        <w:t>Wittgenstein uses often examples (real as well as imaginary). There are only a few generalizations (like “meaning is use”).</w:t>
      </w:r>
    </w:p>
    <w:p w:rsidR="000B4507" w:rsidRDefault="000B4507" w:rsidP="000B4507">
      <w:pPr>
        <w:pStyle w:val="Funkce"/>
        <w:numPr>
          <w:ilvl w:val="1"/>
          <w:numId w:val="2"/>
        </w:numPr>
        <w:rPr>
          <w:lang w:val="en-US"/>
        </w:rPr>
      </w:pPr>
      <w:r>
        <w:rPr>
          <w:lang w:val="en-US"/>
        </w:rPr>
        <w:t xml:space="preserve">These intricate characteristics of Wittgenstein’s style are related to his philosophical method.  </w:t>
      </w:r>
    </w:p>
    <w:p w:rsidR="007555FB" w:rsidRDefault="000B4507" w:rsidP="000B4507">
      <w:pPr>
        <w:pStyle w:val="Nadpis5"/>
        <w:numPr>
          <w:ilvl w:val="0"/>
          <w:numId w:val="2"/>
        </w:numPr>
        <w:rPr>
          <w:lang w:val="en-US"/>
        </w:rPr>
      </w:pPr>
      <w:r>
        <w:rPr>
          <w:lang w:val="en-US"/>
        </w:rPr>
        <w:t>Philosophical method</w:t>
      </w:r>
    </w:p>
    <w:p w:rsidR="000B4507" w:rsidRDefault="000B4507" w:rsidP="000B4507">
      <w:pPr>
        <w:pStyle w:val="Funkce"/>
        <w:numPr>
          <w:ilvl w:val="1"/>
          <w:numId w:val="2"/>
        </w:numPr>
        <w:rPr>
          <w:lang w:val="en-US"/>
        </w:rPr>
      </w:pPr>
      <w:r>
        <w:rPr>
          <w:lang w:val="en-US"/>
        </w:rPr>
        <w:t>Philosophy is no doctrine (theory, a structured set philosophical theses).</w:t>
      </w:r>
    </w:p>
    <w:p w:rsidR="000B4507" w:rsidRDefault="00F92F29" w:rsidP="000B4507">
      <w:pPr>
        <w:pStyle w:val="Funkce"/>
        <w:numPr>
          <w:ilvl w:val="1"/>
          <w:numId w:val="2"/>
        </w:numPr>
        <w:rPr>
          <w:lang w:val="en-US"/>
        </w:rPr>
      </w:pPr>
      <w:r>
        <w:rPr>
          <w:lang w:val="en-US"/>
        </w:rPr>
        <w:t>There are no (deductive) arguments leading to certain conclusions. No explanations.</w:t>
      </w:r>
    </w:p>
    <w:p w:rsidR="00D51E8B" w:rsidRDefault="00F92F29" w:rsidP="000B4507">
      <w:pPr>
        <w:pStyle w:val="Funkce"/>
        <w:numPr>
          <w:ilvl w:val="1"/>
          <w:numId w:val="2"/>
        </w:numPr>
        <w:rPr>
          <w:lang w:val="en-US"/>
        </w:rPr>
      </w:pPr>
      <w:r>
        <w:rPr>
          <w:lang w:val="en-US"/>
        </w:rPr>
        <w:t>Philosophy is an activity.</w:t>
      </w:r>
    </w:p>
    <w:p w:rsidR="00D51E8B" w:rsidRPr="00920645" w:rsidRDefault="00D51E8B" w:rsidP="00652C5C">
      <w:pPr>
        <w:pStyle w:val="Funkce"/>
        <w:numPr>
          <w:ilvl w:val="2"/>
          <w:numId w:val="2"/>
        </w:numPr>
        <w:rPr>
          <w:lang w:val="en-US"/>
        </w:rPr>
      </w:pPr>
      <w:r w:rsidRPr="00920645">
        <w:rPr>
          <w:lang w:val="en-US"/>
        </w:rPr>
        <w:t>What kind of activity? “Philosophy is a battle against the bewitchment of our intelligence by means of language.” (§109)</w:t>
      </w:r>
      <w:r w:rsidR="00920645" w:rsidRPr="00920645">
        <w:rPr>
          <w:lang w:val="en-US"/>
        </w:rPr>
        <w:t xml:space="preserve"> “A philosophical problem has the form: ‘I don’t know my</w:t>
      </w:r>
      <w:r w:rsidR="00920645">
        <w:rPr>
          <w:lang w:val="en-US"/>
        </w:rPr>
        <w:t xml:space="preserve"> </w:t>
      </w:r>
      <w:r w:rsidR="00920645" w:rsidRPr="00920645">
        <w:rPr>
          <w:lang w:val="en-US"/>
        </w:rPr>
        <w:t>way about.’</w:t>
      </w:r>
      <w:r w:rsidR="00920645">
        <w:rPr>
          <w:lang w:val="en-US"/>
        </w:rPr>
        <w:t>” (§123)</w:t>
      </w:r>
      <w:r w:rsidRPr="00920645">
        <w:rPr>
          <w:lang w:val="en-US"/>
        </w:rPr>
        <w:t xml:space="preserve"> </w:t>
      </w:r>
    </w:p>
    <w:p w:rsidR="00F92F29" w:rsidRPr="00920645" w:rsidRDefault="00D51E8B" w:rsidP="00652C5C">
      <w:pPr>
        <w:pStyle w:val="Funkce"/>
        <w:numPr>
          <w:ilvl w:val="2"/>
          <w:numId w:val="2"/>
        </w:numPr>
        <w:rPr>
          <w:lang w:val="en-US"/>
        </w:rPr>
      </w:pPr>
      <w:r w:rsidRPr="00920645">
        <w:rPr>
          <w:lang w:val="en-US"/>
        </w:rPr>
        <w:t xml:space="preserve">What is its goal? A clear </w:t>
      </w:r>
      <w:r w:rsidRPr="00920645">
        <w:rPr>
          <w:i/>
          <w:lang w:val="en-US"/>
        </w:rPr>
        <w:t>grammar</w:t>
      </w:r>
      <w:r w:rsidRPr="00920645">
        <w:rPr>
          <w:lang w:val="en-US"/>
        </w:rPr>
        <w:t xml:space="preserve"> of our language, a clear overview of the use of our words</w:t>
      </w:r>
      <w:r w:rsidR="00920645" w:rsidRPr="00920645">
        <w:rPr>
          <w:lang w:val="en-US"/>
        </w:rPr>
        <w:t xml:space="preserve"> (a perspicuous</w:t>
      </w:r>
      <w:r w:rsidR="00920645">
        <w:rPr>
          <w:lang w:val="en-US"/>
        </w:rPr>
        <w:t xml:space="preserve"> presentation, §122</w:t>
      </w:r>
      <w:r w:rsidR="00920645" w:rsidRPr="00920645">
        <w:rPr>
          <w:lang w:val="en-US"/>
        </w:rPr>
        <w:t>)</w:t>
      </w:r>
      <w:r w:rsidRPr="00920645">
        <w:rPr>
          <w:lang w:val="en-US"/>
        </w:rPr>
        <w:t>.</w:t>
      </w:r>
      <w:r w:rsidR="00D9706E" w:rsidRPr="00920645">
        <w:rPr>
          <w:lang w:val="en-US"/>
        </w:rPr>
        <w:t xml:space="preserve"> (Cf. Wittgenstein said allegedly: “Meaning is use.”)</w:t>
      </w:r>
    </w:p>
    <w:p w:rsidR="004758A5" w:rsidRDefault="004758A5" w:rsidP="004758A5">
      <w:pPr>
        <w:pStyle w:val="Funkce"/>
        <w:numPr>
          <w:ilvl w:val="1"/>
          <w:numId w:val="2"/>
        </w:numPr>
        <w:rPr>
          <w:lang w:val="en-US"/>
        </w:rPr>
      </w:pPr>
      <w:r>
        <w:rPr>
          <w:lang w:val="en-US"/>
        </w:rPr>
        <w:t xml:space="preserve">As soon as the goal (the </w:t>
      </w:r>
      <w:r w:rsidR="00920645" w:rsidRPr="00920645">
        <w:rPr>
          <w:lang w:val="en-US"/>
        </w:rPr>
        <w:t>perspicuous</w:t>
      </w:r>
      <w:r w:rsidR="00920645">
        <w:rPr>
          <w:lang w:val="en-US"/>
        </w:rPr>
        <w:t xml:space="preserve"> presentation</w:t>
      </w:r>
      <w:r>
        <w:rPr>
          <w:lang w:val="en-US"/>
        </w:rPr>
        <w:t>) is achieved, there will be no need for philosophy.</w:t>
      </w:r>
      <w:r w:rsidR="00920645">
        <w:rPr>
          <w:lang w:val="en-US"/>
        </w:rPr>
        <w:t xml:space="preserve"> In other words, as soon as the philosophical problem completely disappears (§133), there is no need for philosophy.</w:t>
      </w:r>
    </w:p>
    <w:p w:rsidR="004758A5" w:rsidRDefault="004758A5" w:rsidP="00D9706E">
      <w:pPr>
        <w:pStyle w:val="Funkce"/>
        <w:numPr>
          <w:ilvl w:val="1"/>
          <w:numId w:val="2"/>
        </w:numPr>
        <w:rPr>
          <w:lang w:val="en-US"/>
        </w:rPr>
      </w:pPr>
      <w:r>
        <w:rPr>
          <w:lang w:val="en-US"/>
        </w:rPr>
        <w:t xml:space="preserve">The bewitchment is a kind of confusion </w:t>
      </w:r>
      <w:r w:rsidR="00FC458C">
        <w:rPr>
          <w:lang w:val="en-US"/>
        </w:rPr>
        <w:t xml:space="preserve">or obstacle </w:t>
      </w:r>
      <w:r>
        <w:rPr>
          <w:lang w:val="en-US"/>
        </w:rPr>
        <w:t>that Wittgenstein compares to an illness.</w:t>
      </w:r>
    </w:p>
    <w:p w:rsidR="004758A5" w:rsidRDefault="004758A5" w:rsidP="00D9706E">
      <w:pPr>
        <w:pStyle w:val="Funkce"/>
        <w:numPr>
          <w:ilvl w:val="1"/>
          <w:numId w:val="2"/>
        </w:numPr>
        <w:rPr>
          <w:lang w:val="en-US"/>
        </w:rPr>
      </w:pPr>
      <w:r>
        <w:rPr>
          <w:lang w:val="en-US"/>
        </w:rPr>
        <w:t>Philosophy is (analogous to) a therapy.</w:t>
      </w:r>
    </w:p>
    <w:p w:rsidR="00FC458C" w:rsidRPr="00FC458C" w:rsidRDefault="00FC458C" w:rsidP="00FC458C">
      <w:pPr>
        <w:pStyle w:val="Funkce"/>
        <w:numPr>
          <w:ilvl w:val="1"/>
          <w:numId w:val="2"/>
        </w:numPr>
        <w:rPr>
          <w:lang w:val="en-US"/>
        </w:rPr>
      </w:pPr>
      <w:r>
        <w:rPr>
          <w:lang w:val="en-US"/>
        </w:rPr>
        <w:t xml:space="preserve">Philosophical theories are, at best, “objects of comparison” (§131). </w:t>
      </w:r>
      <w:r w:rsidR="00920645">
        <w:rPr>
          <w:lang w:val="en-US"/>
        </w:rPr>
        <w:t>We compare them with the actual praxis, with reality.</w:t>
      </w:r>
    </w:p>
    <w:p w:rsidR="007461C7" w:rsidRDefault="007461C7" w:rsidP="00A07B92">
      <w:pPr>
        <w:pStyle w:val="Nadpis4"/>
        <w:rPr>
          <w:lang w:val="en-US"/>
        </w:rPr>
      </w:pPr>
      <w:r>
        <w:rPr>
          <w:lang w:val="en-US"/>
        </w:rPr>
        <w:t>Critique of the Augustinian conception of language</w:t>
      </w:r>
    </w:p>
    <w:p w:rsidR="00A07B92" w:rsidRDefault="00112E75" w:rsidP="00112E75">
      <w:pPr>
        <w:pStyle w:val="Funkce"/>
        <w:numPr>
          <w:ilvl w:val="0"/>
          <w:numId w:val="3"/>
        </w:numPr>
        <w:rPr>
          <w:lang w:val="en-US"/>
        </w:rPr>
      </w:pPr>
      <w:r>
        <w:rPr>
          <w:lang w:val="en-US"/>
        </w:rPr>
        <w:t xml:space="preserve">The </w:t>
      </w:r>
      <w:r w:rsidRPr="00112E75">
        <w:rPr>
          <w:i/>
          <w:lang w:val="en-US"/>
        </w:rPr>
        <w:t>Philosophical Investigations</w:t>
      </w:r>
      <w:r>
        <w:rPr>
          <w:lang w:val="en-US"/>
        </w:rPr>
        <w:t xml:space="preserve"> begin with a long quotation from Augustine’s </w:t>
      </w:r>
      <w:r w:rsidRPr="00112E75">
        <w:rPr>
          <w:i/>
          <w:lang w:val="en-US"/>
        </w:rPr>
        <w:t>Confessions</w:t>
      </w:r>
      <w:r>
        <w:rPr>
          <w:lang w:val="en-US"/>
        </w:rPr>
        <w:t>, which is subsequently summed up as:</w:t>
      </w:r>
    </w:p>
    <w:p w:rsidR="00112E75" w:rsidRDefault="00112E75" w:rsidP="00112E75">
      <w:pPr>
        <w:pStyle w:val="Funkce"/>
        <w:ind w:left="360"/>
        <w:rPr>
          <w:lang w:val="en-US"/>
        </w:rPr>
      </w:pPr>
    </w:p>
    <w:p w:rsidR="00112E75" w:rsidRDefault="00112E75" w:rsidP="00112E75">
      <w:pPr>
        <w:pStyle w:val="Funkce"/>
        <w:ind w:left="360"/>
        <w:jc w:val="both"/>
        <w:rPr>
          <w:lang w:val="en-US"/>
        </w:rPr>
      </w:pPr>
      <w:r w:rsidRPr="00112E75">
        <w:rPr>
          <w:lang w:val="en-US"/>
        </w:rPr>
        <w:t>These words, it seems to me, give us a pa</w:t>
      </w:r>
      <w:r>
        <w:rPr>
          <w:lang w:val="en-US"/>
        </w:rPr>
        <w:t xml:space="preserve">rticular picture of the essence </w:t>
      </w:r>
      <w:r w:rsidRPr="00112E75">
        <w:rPr>
          <w:lang w:val="en-US"/>
        </w:rPr>
        <w:t>of human language. It is this: the words in language name objects a</w:t>
      </w:r>
      <w:r>
        <w:rPr>
          <w:lang w:val="en-US"/>
        </w:rPr>
        <w:t xml:space="preserve"> </w:t>
      </w:r>
      <w:r w:rsidRPr="00112E75">
        <w:rPr>
          <w:lang w:val="en-US"/>
        </w:rPr>
        <w:t>sentences are combinations of such names. —– In this picture of language we find the roots of the following idea: Every word has a meaning. This meaning is correlated with the word. It is the object for which</w:t>
      </w:r>
      <w:r>
        <w:rPr>
          <w:lang w:val="en-US"/>
        </w:rPr>
        <w:t xml:space="preserve"> </w:t>
      </w:r>
      <w:r w:rsidRPr="00112E75">
        <w:rPr>
          <w:lang w:val="en-US"/>
        </w:rPr>
        <w:t>the word stands.</w:t>
      </w:r>
      <w:r>
        <w:rPr>
          <w:lang w:val="en-US"/>
        </w:rPr>
        <w:t xml:space="preserve"> (§1)</w:t>
      </w:r>
    </w:p>
    <w:p w:rsidR="00112E75" w:rsidRDefault="00112E75" w:rsidP="00112E75">
      <w:pPr>
        <w:pStyle w:val="Funkce"/>
        <w:ind w:left="360"/>
        <w:jc w:val="both"/>
        <w:rPr>
          <w:lang w:val="en-US"/>
        </w:rPr>
      </w:pPr>
    </w:p>
    <w:p w:rsidR="00112E75" w:rsidRDefault="00112E75" w:rsidP="00112E75">
      <w:pPr>
        <w:pStyle w:val="Funkce"/>
        <w:numPr>
          <w:ilvl w:val="0"/>
          <w:numId w:val="3"/>
        </w:numPr>
        <w:jc w:val="both"/>
        <w:rPr>
          <w:lang w:val="en-US"/>
        </w:rPr>
      </w:pPr>
      <w:r>
        <w:rPr>
          <w:lang w:val="en-US"/>
        </w:rPr>
        <w:t>Subsequently Wittgenstein (together with the reader) starts asking this theory: Are there any differences between kinds of words? His asking has the form of an example:</w:t>
      </w:r>
    </w:p>
    <w:p w:rsidR="00112E75" w:rsidRDefault="00112E75" w:rsidP="00112E75">
      <w:pPr>
        <w:pStyle w:val="Funkce"/>
        <w:jc w:val="both"/>
        <w:rPr>
          <w:lang w:val="en-US"/>
        </w:rPr>
      </w:pPr>
    </w:p>
    <w:p w:rsidR="00112E75" w:rsidRPr="00112E75" w:rsidRDefault="00112E75" w:rsidP="00E31CA2">
      <w:pPr>
        <w:pStyle w:val="Funkce"/>
        <w:ind w:left="360"/>
        <w:jc w:val="both"/>
        <w:rPr>
          <w:lang w:val="en-US"/>
        </w:rPr>
      </w:pPr>
      <w:r w:rsidRPr="00112E75">
        <w:rPr>
          <w:lang w:val="en-US"/>
        </w:rPr>
        <w:t>Now think of the following use of language: I send someone shopping. I give him a slip of paper marked “five red apples”. He takes the</w:t>
      </w:r>
      <w:r>
        <w:rPr>
          <w:lang w:val="en-US"/>
        </w:rPr>
        <w:t xml:space="preserve"> </w:t>
      </w:r>
      <w:r w:rsidR="00DA727C">
        <w:rPr>
          <w:lang w:val="en-US"/>
        </w:rPr>
        <w:t xml:space="preserve">slip to </w:t>
      </w:r>
      <w:r w:rsidRPr="00112E75">
        <w:rPr>
          <w:lang w:val="en-US"/>
        </w:rPr>
        <w:t>the shopkeeper, who opens the drawer marked “apples”; then</w:t>
      </w:r>
      <w:r w:rsidR="00E31CA2">
        <w:rPr>
          <w:lang w:val="en-US"/>
        </w:rPr>
        <w:t xml:space="preserve"> </w:t>
      </w:r>
      <w:r w:rsidR="00E31CA2" w:rsidRPr="00E31CA2">
        <w:rPr>
          <w:lang w:val="en-US"/>
        </w:rPr>
        <w:t>he looks up the word “red” in a chart and finds a colour sample next</w:t>
      </w:r>
      <w:r w:rsidR="00E31CA2">
        <w:rPr>
          <w:lang w:val="en-US"/>
        </w:rPr>
        <w:t xml:space="preserve"> </w:t>
      </w:r>
      <w:r w:rsidR="00E31CA2" w:rsidRPr="00E31CA2">
        <w:rPr>
          <w:lang w:val="en-US"/>
        </w:rPr>
        <w:t xml:space="preserve">to it; then he says the series of elementary number-words </w:t>
      </w:r>
      <w:r w:rsidR="00E31CA2">
        <w:rPr>
          <w:lang w:val="en-US"/>
        </w:rPr>
        <w:t>–</w:t>
      </w:r>
      <w:r w:rsidR="00E31CA2" w:rsidRPr="00E31CA2">
        <w:rPr>
          <w:lang w:val="en-US"/>
        </w:rPr>
        <w:t xml:space="preserve"> I assume</w:t>
      </w:r>
      <w:r w:rsidR="00E31CA2">
        <w:rPr>
          <w:lang w:val="en-US"/>
        </w:rPr>
        <w:t xml:space="preserve"> </w:t>
      </w:r>
      <w:r w:rsidR="00E31CA2" w:rsidRPr="00E31CA2">
        <w:rPr>
          <w:lang w:val="en-US"/>
        </w:rPr>
        <w:t xml:space="preserve">that he knows them by heart </w:t>
      </w:r>
      <w:r w:rsidR="00E31CA2">
        <w:rPr>
          <w:lang w:val="en-US"/>
        </w:rPr>
        <w:t>–</w:t>
      </w:r>
      <w:r w:rsidR="00E31CA2" w:rsidRPr="00E31CA2">
        <w:rPr>
          <w:lang w:val="en-US"/>
        </w:rPr>
        <w:t xml:space="preserve"> up to the word “five”, and for each</w:t>
      </w:r>
      <w:r w:rsidR="00E31CA2">
        <w:rPr>
          <w:lang w:val="en-US"/>
        </w:rPr>
        <w:t xml:space="preserve"> </w:t>
      </w:r>
      <w:r w:rsidR="00E31CA2" w:rsidRPr="00E31CA2">
        <w:rPr>
          <w:lang w:val="en-US"/>
        </w:rPr>
        <w:t>number-word he takes an apple of the same colour as the sample out</w:t>
      </w:r>
      <w:r w:rsidR="00E31CA2">
        <w:rPr>
          <w:lang w:val="en-US"/>
        </w:rPr>
        <w:t xml:space="preserve"> </w:t>
      </w:r>
      <w:r w:rsidR="00E31CA2" w:rsidRPr="00E31CA2">
        <w:rPr>
          <w:lang w:val="en-US"/>
        </w:rPr>
        <w:t>of the drawer.</w:t>
      </w:r>
    </w:p>
    <w:p w:rsidR="00112E75" w:rsidRDefault="00112E75" w:rsidP="00112E75">
      <w:pPr>
        <w:pStyle w:val="Funkce"/>
        <w:ind w:left="360"/>
        <w:jc w:val="both"/>
        <w:rPr>
          <w:lang w:val="en-US"/>
        </w:rPr>
      </w:pPr>
    </w:p>
    <w:p w:rsidR="00E31CA2" w:rsidRDefault="00E31CA2" w:rsidP="00E31CA2">
      <w:pPr>
        <w:pStyle w:val="Funkce"/>
        <w:numPr>
          <w:ilvl w:val="0"/>
          <w:numId w:val="3"/>
        </w:numPr>
        <w:jc w:val="both"/>
        <w:rPr>
          <w:lang w:val="en-US"/>
        </w:rPr>
      </w:pPr>
      <w:r>
        <w:rPr>
          <w:lang w:val="en-US"/>
        </w:rPr>
        <w:t>Now the voice changes several times. Wittgenstein marks this by dashes.</w:t>
      </w:r>
    </w:p>
    <w:p w:rsidR="00E31CA2" w:rsidRDefault="00E31CA2" w:rsidP="00E31CA2">
      <w:pPr>
        <w:pStyle w:val="Funkce"/>
        <w:jc w:val="both"/>
        <w:rPr>
          <w:lang w:val="en-US"/>
        </w:rPr>
      </w:pPr>
    </w:p>
    <w:p w:rsidR="00E31CA2" w:rsidRDefault="00E31CA2" w:rsidP="00E31CA2">
      <w:pPr>
        <w:pStyle w:val="Funkce"/>
        <w:ind w:left="360"/>
        <w:jc w:val="both"/>
        <w:rPr>
          <w:lang w:val="en-US"/>
        </w:rPr>
      </w:pPr>
      <w:r w:rsidRPr="00E31CA2">
        <w:rPr>
          <w:lang w:val="en-US"/>
        </w:rPr>
        <w:t>—– It is in this and similar ways that one operates with</w:t>
      </w:r>
      <w:r>
        <w:rPr>
          <w:lang w:val="en-US"/>
        </w:rPr>
        <w:t xml:space="preserve"> words.</w:t>
      </w:r>
    </w:p>
    <w:p w:rsidR="00E31CA2" w:rsidRDefault="00E31CA2" w:rsidP="00E31CA2">
      <w:pPr>
        <w:pStyle w:val="Funkce"/>
        <w:ind w:left="360"/>
        <w:jc w:val="both"/>
        <w:rPr>
          <w:lang w:val="en-US"/>
        </w:rPr>
      </w:pPr>
      <w:r w:rsidRPr="00E31CA2">
        <w:rPr>
          <w:lang w:val="en-US"/>
        </w:rPr>
        <w:t>—– “But how does he know where and how he is to look up</w:t>
      </w:r>
      <w:r>
        <w:rPr>
          <w:lang w:val="en-US"/>
        </w:rPr>
        <w:t xml:space="preserve"> </w:t>
      </w:r>
      <w:r w:rsidRPr="00E31CA2">
        <w:rPr>
          <w:lang w:val="en-US"/>
        </w:rPr>
        <w:t xml:space="preserve">the word ‘red’ and what he </w:t>
      </w:r>
      <w:r>
        <w:rPr>
          <w:lang w:val="en-US"/>
        </w:rPr>
        <w:t>is to do with the word ‘five’?”</w:t>
      </w:r>
    </w:p>
    <w:p w:rsidR="00E31CA2" w:rsidRDefault="00E31CA2" w:rsidP="00E31CA2">
      <w:pPr>
        <w:pStyle w:val="Funkce"/>
        <w:ind w:left="360"/>
        <w:jc w:val="both"/>
        <w:rPr>
          <w:lang w:val="en-US"/>
        </w:rPr>
      </w:pPr>
      <w:r w:rsidRPr="00E31CA2">
        <w:rPr>
          <w:lang w:val="en-US"/>
        </w:rPr>
        <w:t>—– Well, I</w:t>
      </w:r>
      <w:r>
        <w:rPr>
          <w:lang w:val="en-US"/>
        </w:rPr>
        <w:t xml:space="preserve"> </w:t>
      </w:r>
      <w:r w:rsidRPr="00E31CA2">
        <w:rPr>
          <w:lang w:val="en-US"/>
        </w:rPr>
        <w:t>assume that he acts as I have described. Explanations come to an end</w:t>
      </w:r>
      <w:r>
        <w:rPr>
          <w:lang w:val="en-US"/>
        </w:rPr>
        <w:t xml:space="preserve"> somewhere.</w:t>
      </w:r>
    </w:p>
    <w:p w:rsidR="00E31CA2" w:rsidRDefault="00E31CA2" w:rsidP="00E31CA2">
      <w:pPr>
        <w:pStyle w:val="Funkce"/>
        <w:ind w:left="360"/>
        <w:jc w:val="both"/>
        <w:rPr>
          <w:lang w:val="en-US"/>
        </w:rPr>
      </w:pPr>
      <w:r>
        <w:rPr>
          <w:lang w:val="en-US"/>
        </w:rPr>
        <w:t>–</w:t>
      </w:r>
      <w:r w:rsidRPr="00E31CA2">
        <w:rPr>
          <w:lang w:val="en-US"/>
        </w:rPr>
        <w:t xml:space="preserve"> But what is t</w:t>
      </w:r>
      <w:r>
        <w:rPr>
          <w:lang w:val="en-US"/>
        </w:rPr>
        <w:t>he meaning of the word “five”?</w:t>
      </w:r>
    </w:p>
    <w:p w:rsidR="00E31CA2" w:rsidRDefault="00E31CA2" w:rsidP="00E31CA2">
      <w:pPr>
        <w:pStyle w:val="Funkce"/>
        <w:ind w:left="360"/>
        <w:jc w:val="both"/>
        <w:rPr>
          <w:lang w:val="en-US"/>
        </w:rPr>
      </w:pPr>
      <w:r>
        <w:rPr>
          <w:lang w:val="en-US"/>
        </w:rPr>
        <w:t>–</w:t>
      </w:r>
      <w:r w:rsidRPr="00E31CA2">
        <w:rPr>
          <w:lang w:val="en-US"/>
        </w:rPr>
        <w:t xml:space="preserve"> No such</w:t>
      </w:r>
      <w:r>
        <w:rPr>
          <w:lang w:val="en-US"/>
        </w:rPr>
        <w:t xml:space="preserve"> </w:t>
      </w:r>
      <w:r w:rsidRPr="00E31CA2">
        <w:rPr>
          <w:lang w:val="en-US"/>
        </w:rPr>
        <w:t>thing was in question here, only how the word “five” is used.</w:t>
      </w:r>
      <w:r w:rsidR="00266810">
        <w:rPr>
          <w:lang w:val="en-US"/>
        </w:rPr>
        <w:t xml:space="preserve"> (§1)</w:t>
      </w:r>
    </w:p>
    <w:p w:rsidR="00E31CA2" w:rsidRDefault="00E31CA2" w:rsidP="00AC2D36">
      <w:pPr>
        <w:pStyle w:val="Funkce"/>
        <w:rPr>
          <w:lang w:val="en-US"/>
        </w:rPr>
      </w:pPr>
    </w:p>
    <w:p w:rsidR="00266810" w:rsidRDefault="00266810" w:rsidP="00266810">
      <w:pPr>
        <w:pStyle w:val="Funkce"/>
        <w:numPr>
          <w:ilvl w:val="0"/>
          <w:numId w:val="3"/>
        </w:numPr>
        <w:rPr>
          <w:lang w:val="en-US"/>
        </w:rPr>
      </w:pPr>
      <w:r>
        <w:rPr>
          <w:lang w:val="en-US"/>
        </w:rPr>
        <w:t xml:space="preserve">If there is any critique of Augustin’s conception of language, then it is only implicit. Neither Wittgenstein, nor any of the voices claims that this conception of language is </w:t>
      </w:r>
      <w:r w:rsidR="001C00ED">
        <w:rPr>
          <w:lang w:val="en-US"/>
        </w:rPr>
        <w:t>absolutely hopeless</w:t>
      </w:r>
      <w:r>
        <w:rPr>
          <w:lang w:val="en-US"/>
        </w:rPr>
        <w:t>.</w:t>
      </w:r>
    </w:p>
    <w:p w:rsidR="00266810" w:rsidRDefault="00266810" w:rsidP="00266810">
      <w:pPr>
        <w:pStyle w:val="Funkce"/>
        <w:numPr>
          <w:ilvl w:val="0"/>
          <w:numId w:val="3"/>
        </w:numPr>
        <w:rPr>
          <w:lang w:val="en-US"/>
        </w:rPr>
      </w:pPr>
      <w:r>
        <w:rPr>
          <w:lang w:val="en-US"/>
        </w:rPr>
        <w:t>Any conclusion is up to the reader.</w:t>
      </w:r>
    </w:p>
    <w:p w:rsidR="0031460E" w:rsidRDefault="0031460E" w:rsidP="00266810">
      <w:pPr>
        <w:pStyle w:val="Funkce"/>
        <w:numPr>
          <w:ilvl w:val="0"/>
          <w:numId w:val="3"/>
        </w:numPr>
        <w:rPr>
          <w:lang w:val="en-US"/>
        </w:rPr>
      </w:pPr>
      <w:r>
        <w:rPr>
          <w:lang w:val="en-US"/>
        </w:rPr>
        <w:t>What follows: Wittgenstein introduces various extensions or improvements of this langu</w:t>
      </w:r>
      <w:r w:rsidR="001C00ED">
        <w:rPr>
          <w:lang w:val="en-US"/>
        </w:rPr>
        <w:t xml:space="preserve">age (which are called </w:t>
      </w:r>
      <w:r w:rsidR="001C00ED" w:rsidRPr="001C00ED">
        <w:rPr>
          <w:b/>
          <w:lang w:val="en-US"/>
        </w:rPr>
        <w:t>language-games</w:t>
      </w:r>
      <w:r w:rsidR="001C00ED">
        <w:rPr>
          <w:lang w:val="en-US"/>
        </w:rPr>
        <w:t>) and applies his method again and again.</w:t>
      </w:r>
    </w:p>
    <w:p w:rsidR="00195E26" w:rsidRDefault="00195E26" w:rsidP="00266810">
      <w:pPr>
        <w:pStyle w:val="Funkce"/>
        <w:numPr>
          <w:ilvl w:val="0"/>
          <w:numId w:val="3"/>
        </w:numPr>
        <w:rPr>
          <w:lang w:val="en-US"/>
        </w:rPr>
      </w:pPr>
      <w:r>
        <w:rPr>
          <w:lang w:val="en-US"/>
        </w:rPr>
        <w:t xml:space="preserve">Some of these games </w:t>
      </w:r>
      <w:r w:rsidR="005569E3">
        <w:rPr>
          <w:lang w:val="en-US"/>
        </w:rPr>
        <w:t xml:space="preserve">work akin </w:t>
      </w:r>
      <w:r>
        <w:rPr>
          <w:lang w:val="en-US"/>
        </w:rPr>
        <w:t xml:space="preserve">the theory of names from his </w:t>
      </w:r>
      <w:r w:rsidRPr="00195E26">
        <w:rPr>
          <w:i/>
          <w:lang w:val="en-US"/>
        </w:rPr>
        <w:t>Tractatus</w:t>
      </w:r>
      <w:r>
        <w:rPr>
          <w:lang w:val="en-US"/>
        </w:rPr>
        <w:t>.</w:t>
      </w:r>
    </w:p>
    <w:p w:rsidR="001C00ED" w:rsidRPr="00266810" w:rsidRDefault="001C00ED" w:rsidP="00266810">
      <w:pPr>
        <w:pStyle w:val="Funkce"/>
        <w:numPr>
          <w:ilvl w:val="0"/>
          <w:numId w:val="3"/>
        </w:numPr>
        <w:rPr>
          <w:lang w:val="en-US"/>
        </w:rPr>
      </w:pPr>
      <w:r>
        <w:rPr>
          <w:lang w:val="en-US"/>
        </w:rPr>
        <w:t>These languages</w:t>
      </w:r>
      <w:r w:rsidR="00195E26">
        <w:rPr>
          <w:lang w:val="en-US"/>
        </w:rPr>
        <w:t>-games</w:t>
      </w:r>
      <w:r>
        <w:rPr>
          <w:lang w:val="en-US"/>
        </w:rPr>
        <w:t xml:space="preserve"> and their implicit conceptions of meaning are </w:t>
      </w:r>
      <w:r w:rsidRPr="001C00ED">
        <w:rPr>
          <w:b/>
          <w:lang w:val="en-US"/>
        </w:rPr>
        <w:t>objects of comparison</w:t>
      </w:r>
      <w:r>
        <w:rPr>
          <w:lang w:val="en-US"/>
        </w:rPr>
        <w:t>.</w:t>
      </w:r>
    </w:p>
    <w:p w:rsidR="007461C7" w:rsidRDefault="007461C7" w:rsidP="00B52C2F">
      <w:pPr>
        <w:pStyle w:val="Nadpis4"/>
        <w:rPr>
          <w:lang w:val="en-US"/>
        </w:rPr>
      </w:pPr>
      <w:r>
        <w:rPr>
          <w:lang w:val="en-US"/>
        </w:rPr>
        <w:t>Rule-following</w:t>
      </w:r>
    </w:p>
    <w:p w:rsidR="00B52C2F" w:rsidRDefault="00A64BC6" w:rsidP="00A64BC6">
      <w:pPr>
        <w:pStyle w:val="Funkce"/>
        <w:numPr>
          <w:ilvl w:val="0"/>
          <w:numId w:val="4"/>
        </w:numPr>
        <w:rPr>
          <w:lang w:val="en-US"/>
        </w:rPr>
      </w:pPr>
      <w:r>
        <w:rPr>
          <w:lang w:val="en-US"/>
        </w:rPr>
        <w:t xml:space="preserve">What is </w:t>
      </w:r>
      <w:r w:rsidR="00D5628F">
        <w:rPr>
          <w:lang w:val="en-US"/>
        </w:rPr>
        <w:t xml:space="preserve">alluded </w:t>
      </w:r>
      <w:r>
        <w:rPr>
          <w:lang w:val="en-US"/>
        </w:rPr>
        <w:t xml:space="preserve">in the language-game from §1 is that we connect with certain words rather </w:t>
      </w:r>
      <w:r w:rsidRPr="00D5628F">
        <w:rPr>
          <w:b/>
          <w:lang w:val="en-US"/>
        </w:rPr>
        <w:t>rules</w:t>
      </w:r>
      <w:r>
        <w:rPr>
          <w:lang w:val="en-US"/>
        </w:rPr>
        <w:t xml:space="preserve"> than objects.</w:t>
      </w:r>
    </w:p>
    <w:p w:rsidR="00A64BC6" w:rsidRDefault="00A95B91" w:rsidP="00A64BC6">
      <w:pPr>
        <w:pStyle w:val="Funkce"/>
        <w:numPr>
          <w:ilvl w:val="0"/>
          <w:numId w:val="4"/>
        </w:numPr>
        <w:rPr>
          <w:lang w:val="en-US"/>
        </w:rPr>
      </w:pPr>
      <w:r>
        <w:rPr>
          <w:lang w:val="en-US"/>
        </w:rPr>
        <w:t>The question is now how can we grasp a rule (that governs the use of a word)?</w:t>
      </w:r>
    </w:p>
    <w:p w:rsidR="006C4E21" w:rsidRDefault="006C4E21" w:rsidP="00AD3856">
      <w:pPr>
        <w:pStyle w:val="Funkce"/>
        <w:numPr>
          <w:ilvl w:val="1"/>
          <w:numId w:val="4"/>
        </w:numPr>
        <w:rPr>
          <w:lang w:val="en-US"/>
        </w:rPr>
      </w:pPr>
      <w:r>
        <w:rPr>
          <w:lang w:val="en-US"/>
        </w:rPr>
        <w:t>In particular, can we grasp a rule / the meaning of a word at a stroke? If so, then how can grasp</w:t>
      </w:r>
      <w:r w:rsidR="00EA3EF1">
        <w:rPr>
          <w:lang w:val="en-US"/>
        </w:rPr>
        <w:t xml:space="preserve"> potentially unlimited applications of this rule / uses of the word?</w:t>
      </w:r>
    </w:p>
    <w:p w:rsidR="00AD3856" w:rsidRDefault="00AD3856" w:rsidP="00AD3856">
      <w:pPr>
        <w:pStyle w:val="Funkce"/>
        <w:numPr>
          <w:ilvl w:val="1"/>
          <w:numId w:val="4"/>
        </w:numPr>
        <w:rPr>
          <w:lang w:val="en-US"/>
        </w:rPr>
      </w:pPr>
      <w:r>
        <w:rPr>
          <w:lang w:val="en-US"/>
        </w:rPr>
        <w:t>What is the relations between meaning (something delimited) and use (something unlimited)?</w:t>
      </w:r>
    </w:p>
    <w:p w:rsidR="00AD3856" w:rsidRDefault="00AD3856" w:rsidP="00AD3856">
      <w:pPr>
        <w:pStyle w:val="Funkce"/>
        <w:numPr>
          <w:ilvl w:val="1"/>
          <w:numId w:val="4"/>
        </w:numPr>
        <w:rPr>
          <w:lang w:val="en-US"/>
        </w:rPr>
      </w:pPr>
      <w:r>
        <w:rPr>
          <w:lang w:val="en-US"/>
        </w:rPr>
        <w:lastRenderedPageBreak/>
        <w:t>How can I apply a certain rule / word (e.g. “cube”) in a novel unforeseen situation?</w:t>
      </w:r>
    </w:p>
    <w:p w:rsidR="00AD3856" w:rsidRDefault="00AD3856" w:rsidP="00AD3856">
      <w:pPr>
        <w:pStyle w:val="Funkce"/>
        <w:numPr>
          <w:ilvl w:val="0"/>
          <w:numId w:val="4"/>
        </w:numPr>
        <w:rPr>
          <w:lang w:val="en-US"/>
        </w:rPr>
      </w:pPr>
      <w:r>
        <w:rPr>
          <w:lang w:val="en-US"/>
        </w:rPr>
        <w:t>The tractarian answer: We possess a method of projection</w:t>
      </w:r>
      <w:r w:rsidR="008C6173">
        <w:rPr>
          <w:lang w:val="en-US"/>
        </w:rPr>
        <w:t xml:space="preserve"> (e.g. we are able to project our mental representation of a cube onto a real object)</w:t>
      </w:r>
      <w:r>
        <w:rPr>
          <w:lang w:val="en-US"/>
        </w:rPr>
        <w:t>.</w:t>
      </w:r>
    </w:p>
    <w:p w:rsidR="008C6173" w:rsidRDefault="008C6173" w:rsidP="0031637F">
      <w:pPr>
        <w:pStyle w:val="Funkce"/>
        <w:numPr>
          <w:ilvl w:val="1"/>
          <w:numId w:val="4"/>
        </w:numPr>
        <w:rPr>
          <w:lang w:val="en-US"/>
        </w:rPr>
      </w:pPr>
      <w:r>
        <w:rPr>
          <w:lang w:val="en-US"/>
        </w:rPr>
        <w:t>But: The method of projection is a rule for applying other rules. Applying a rule requires another rule.</w:t>
      </w:r>
    </w:p>
    <w:p w:rsidR="008C6173" w:rsidRDefault="0031637F" w:rsidP="00652C5C">
      <w:pPr>
        <w:pStyle w:val="Funkce"/>
        <w:numPr>
          <w:ilvl w:val="0"/>
          <w:numId w:val="4"/>
        </w:numPr>
        <w:rPr>
          <w:lang w:val="en-US"/>
        </w:rPr>
      </w:pPr>
      <w:r w:rsidRPr="0031637F">
        <w:rPr>
          <w:lang w:val="en-US"/>
        </w:rPr>
        <w:t xml:space="preserve">The same point can be made without invoking any mental representations: How do we grasp the rule of the series: 1 4 9 16 25 …? The must be a moment when I can say: </w:t>
      </w:r>
      <w:r w:rsidR="00DA727C" w:rsidRPr="0031637F">
        <w:rPr>
          <w:lang w:val="en-US"/>
        </w:rPr>
        <w:t>“Now I can go on”’ (PI 151)</w:t>
      </w:r>
      <w:r>
        <w:rPr>
          <w:lang w:val="en-US"/>
        </w:rPr>
        <w:t xml:space="preserve"> It seems that I can indeed grasp this rule at a stroke</w:t>
      </w:r>
      <w:r w:rsidR="00762989">
        <w:rPr>
          <w:lang w:val="en-US"/>
        </w:rPr>
        <w:t xml:space="preserve"> when realizing that this is the series of second powers of natural numbers</w:t>
      </w:r>
      <w:r>
        <w:rPr>
          <w:lang w:val="en-US"/>
        </w:rPr>
        <w:t>.</w:t>
      </w:r>
    </w:p>
    <w:p w:rsidR="00762989" w:rsidRDefault="0031637F" w:rsidP="0031637F">
      <w:pPr>
        <w:pStyle w:val="Funkce"/>
        <w:numPr>
          <w:ilvl w:val="1"/>
          <w:numId w:val="4"/>
        </w:numPr>
        <w:rPr>
          <w:lang w:val="en-US"/>
        </w:rPr>
      </w:pPr>
      <w:r>
        <w:rPr>
          <w:lang w:val="en-US"/>
        </w:rPr>
        <w:t xml:space="preserve">But: </w:t>
      </w:r>
      <w:r w:rsidR="00762989">
        <w:rPr>
          <w:lang w:val="en-US"/>
        </w:rPr>
        <w:t>To understand what second power is we need a rule for it.</w:t>
      </w:r>
    </w:p>
    <w:p w:rsidR="00762989" w:rsidRPr="00762989" w:rsidRDefault="00762989" w:rsidP="00762989">
      <w:pPr>
        <w:pStyle w:val="Funkce"/>
        <w:numPr>
          <w:ilvl w:val="0"/>
          <w:numId w:val="4"/>
        </w:numPr>
        <w:rPr>
          <w:lang w:val="en-US"/>
        </w:rPr>
      </w:pPr>
      <w:r>
        <w:rPr>
          <w:lang w:val="en-US"/>
        </w:rPr>
        <w:t>This is Wittgenstein’s (or some of his voices’) tentative conclusion:</w:t>
      </w:r>
    </w:p>
    <w:p w:rsidR="00762989" w:rsidRPr="00762989" w:rsidRDefault="00762989" w:rsidP="00762989">
      <w:pPr>
        <w:pStyle w:val="Funkce"/>
        <w:ind w:left="360"/>
        <w:rPr>
          <w:lang w:val="en-US"/>
        </w:rPr>
      </w:pPr>
    </w:p>
    <w:p w:rsidR="0031637F" w:rsidRPr="00762989" w:rsidRDefault="00762989" w:rsidP="00762989">
      <w:pPr>
        <w:pStyle w:val="Funkce"/>
        <w:ind w:left="360"/>
        <w:jc w:val="both"/>
        <w:rPr>
          <w:lang w:val="en-US"/>
        </w:rPr>
      </w:pPr>
      <w:r w:rsidRPr="00762989">
        <w:rPr>
          <w:lang w:val="en-US"/>
        </w:rPr>
        <w:t>This was our paradox: no course of action could be determined by a rule, because every course of action can be made out to accord with the rule. The answer was: if everything can be made out to accord with the rule, then it can also be made out to conflict</w:t>
      </w:r>
      <w:r>
        <w:rPr>
          <w:lang w:val="en-US"/>
        </w:rPr>
        <w:t xml:space="preserve"> </w:t>
      </w:r>
      <w:r w:rsidRPr="00762989">
        <w:rPr>
          <w:lang w:val="en-US"/>
        </w:rPr>
        <w:t xml:space="preserve">with it. And so there would be neither accord nor conflict here. </w:t>
      </w:r>
      <w:r>
        <w:rPr>
          <w:lang w:val="en-US"/>
        </w:rPr>
        <w:t>(§201)</w:t>
      </w:r>
    </w:p>
    <w:p w:rsidR="00762989" w:rsidRDefault="00762989" w:rsidP="00AC2D36">
      <w:pPr>
        <w:pStyle w:val="Funkce"/>
        <w:rPr>
          <w:lang w:val="en-US"/>
        </w:rPr>
      </w:pPr>
    </w:p>
    <w:p w:rsidR="00762989" w:rsidRDefault="00762989" w:rsidP="00762989">
      <w:pPr>
        <w:pStyle w:val="Funkce"/>
        <w:numPr>
          <w:ilvl w:val="0"/>
          <w:numId w:val="4"/>
        </w:numPr>
        <w:rPr>
          <w:lang w:val="en-US"/>
        </w:rPr>
      </w:pPr>
      <w:r w:rsidRPr="0031637F">
        <w:rPr>
          <w:lang w:val="en-US"/>
        </w:rPr>
        <w:t xml:space="preserve">There must be an end in invoking additional rules. Sometimes the only possible answer is “I do what I do”. “When I obey a rule, I do not choose. I obey it </w:t>
      </w:r>
      <w:r w:rsidRPr="0031637F">
        <w:rPr>
          <w:i/>
          <w:lang w:val="en-US"/>
        </w:rPr>
        <w:t>blindly</w:t>
      </w:r>
      <w:r w:rsidRPr="0031637F">
        <w:rPr>
          <w:lang w:val="en-US"/>
        </w:rPr>
        <w:t>.</w:t>
      </w:r>
      <w:r>
        <w:rPr>
          <w:lang w:val="en-US"/>
        </w:rPr>
        <w:t>” (§219)</w:t>
      </w:r>
      <w:r w:rsidR="0053794A">
        <w:rPr>
          <w:lang w:val="en-US"/>
        </w:rPr>
        <w:t xml:space="preserve"> No other interpretation is needed.</w:t>
      </w:r>
    </w:p>
    <w:p w:rsidR="00762989" w:rsidRDefault="001C1937" w:rsidP="00762989">
      <w:pPr>
        <w:pStyle w:val="Funkce"/>
        <w:numPr>
          <w:ilvl w:val="0"/>
          <w:numId w:val="4"/>
        </w:numPr>
        <w:rPr>
          <w:lang w:val="en-US"/>
        </w:rPr>
      </w:pPr>
      <w:r>
        <w:rPr>
          <w:lang w:val="en-US"/>
        </w:rPr>
        <w:t xml:space="preserve">To use a rule blindly means that there is an established </w:t>
      </w:r>
      <w:r w:rsidRPr="001C1937">
        <w:rPr>
          <w:i/>
          <w:lang w:val="en-US"/>
        </w:rPr>
        <w:t>practice</w:t>
      </w:r>
      <w:r>
        <w:rPr>
          <w:lang w:val="en-US"/>
        </w:rPr>
        <w:t xml:space="preserve"> of following this rule.</w:t>
      </w:r>
    </w:p>
    <w:p w:rsidR="001C1937" w:rsidRDefault="001C1937" w:rsidP="00762989">
      <w:pPr>
        <w:pStyle w:val="Funkce"/>
        <w:numPr>
          <w:ilvl w:val="0"/>
          <w:numId w:val="4"/>
        </w:numPr>
        <w:rPr>
          <w:lang w:val="en-US"/>
        </w:rPr>
      </w:pPr>
      <w:r>
        <w:rPr>
          <w:lang w:val="en-US"/>
        </w:rPr>
        <w:t>Following a rule is analogous to obeying an order or following a signpost.</w:t>
      </w:r>
    </w:p>
    <w:p w:rsidR="00762989" w:rsidRPr="00F67D27" w:rsidRDefault="001C1937" w:rsidP="00AC2D36">
      <w:pPr>
        <w:pStyle w:val="Funkce"/>
        <w:numPr>
          <w:ilvl w:val="0"/>
          <w:numId w:val="4"/>
        </w:numPr>
        <w:rPr>
          <w:lang w:val="en-US"/>
        </w:rPr>
      </w:pPr>
      <w:r>
        <w:rPr>
          <w:lang w:val="en-US"/>
        </w:rPr>
        <w:t>There must be some regu</w:t>
      </w:r>
      <w:r w:rsidR="00C24235">
        <w:rPr>
          <w:lang w:val="en-US"/>
        </w:rPr>
        <w:t xml:space="preserve">larity and interpersonal harmony in obeying rules blindly, i.e. in established practices. Wittgenstein calls this harmony a </w:t>
      </w:r>
      <w:r w:rsidR="00C24235" w:rsidRPr="00C24235">
        <w:rPr>
          <w:b/>
          <w:lang w:val="en-US"/>
        </w:rPr>
        <w:t>form of life</w:t>
      </w:r>
      <w:r w:rsidR="00C24235">
        <w:rPr>
          <w:lang w:val="en-US"/>
        </w:rPr>
        <w:t>.</w:t>
      </w:r>
    </w:p>
    <w:p w:rsidR="007461C7" w:rsidRDefault="007461C7" w:rsidP="00F67D27">
      <w:pPr>
        <w:pStyle w:val="Nadpis4"/>
        <w:rPr>
          <w:lang w:val="en-US"/>
        </w:rPr>
      </w:pPr>
      <w:r>
        <w:rPr>
          <w:lang w:val="en-US"/>
        </w:rPr>
        <w:t>Private language</w:t>
      </w:r>
    </w:p>
    <w:p w:rsidR="00F67D27" w:rsidRDefault="00F67D27" w:rsidP="00F67D27">
      <w:pPr>
        <w:pStyle w:val="Funkce"/>
        <w:numPr>
          <w:ilvl w:val="0"/>
          <w:numId w:val="5"/>
        </w:numPr>
        <w:rPr>
          <w:lang w:val="en-US"/>
        </w:rPr>
      </w:pPr>
      <w:r>
        <w:rPr>
          <w:lang w:val="en-US"/>
        </w:rPr>
        <w:t>What about rules governing the application of psychological concepts (i.e. concepts for sensations like pain, joy, anger, fear, love, hate)?</w:t>
      </w:r>
    </w:p>
    <w:p w:rsidR="00F67D27" w:rsidRDefault="00653F54" w:rsidP="00F67D27">
      <w:pPr>
        <w:pStyle w:val="Funkce"/>
        <w:numPr>
          <w:ilvl w:val="0"/>
          <w:numId w:val="5"/>
        </w:numPr>
        <w:rPr>
          <w:lang w:val="en-US"/>
        </w:rPr>
      </w:pPr>
      <w:r>
        <w:rPr>
          <w:lang w:val="en-US"/>
        </w:rPr>
        <w:t>How do we learn these rules?</w:t>
      </w:r>
      <w:r w:rsidR="0078659E">
        <w:rPr>
          <w:lang w:val="en-US"/>
        </w:rPr>
        <w:t xml:space="preserve"> By directing our attention at instances of these experiences, naming and remembering them.</w:t>
      </w:r>
    </w:p>
    <w:p w:rsidR="0078659E" w:rsidRDefault="0078659E" w:rsidP="00F67D27">
      <w:pPr>
        <w:pStyle w:val="Funkce"/>
        <w:numPr>
          <w:ilvl w:val="0"/>
          <w:numId w:val="5"/>
        </w:numPr>
        <w:rPr>
          <w:lang w:val="en-US"/>
        </w:rPr>
      </w:pPr>
      <w:r>
        <w:rPr>
          <w:lang w:val="en-US"/>
        </w:rPr>
        <w:t>But consider the following thought-experiment:</w:t>
      </w:r>
    </w:p>
    <w:p w:rsidR="001D3075" w:rsidRDefault="001D3075" w:rsidP="001D3075">
      <w:pPr>
        <w:pStyle w:val="Funkce"/>
        <w:numPr>
          <w:ilvl w:val="1"/>
          <w:numId w:val="5"/>
        </w:numPr>
        <w:rPr>
          <w:lang w:val="en-US"/>
        </w:rPr>
      </w:pPr>
      <w:r>
        <w:rPr>
          <w:lang w:val="en-US"/>
        </w:rPr>
        <w:t>Suppose I have a new sensation worth remembering.</w:t>
      </w:r>
    </w:p>
    <w:p w:rsidR="001D3075" w:rsidRPr="001D3075" w:rsidRDefault="001D3075" w:rsidP="001D3075">
      <w:pPr>
        <w:pStyle w:val="Funkce"/>
        <w:numPr>
          <w:ilvl w:val="1"/>
          <w:numId w:val="5"/>
        </w:numPr>
        <w:rPr>
          <w:lang w:val="en-US"/>
        </w:rPr>
      </w:pPr>
      <w:r>
        <w:rPr>
          <w:lang w:val="en-US"/>
        </w:rPr>
        <w:t xml:space="preserve">I write down the sign “S” and </w:t>
      </w:r>
      <w:r w:rsidRPr="0078659E">
        <w:rPr>
          <w:lang w:val="en-US"/>
        </w:rPr>
        <w:t>concentrate</w:t>
      </w:r>
      <w:r>
        <w:rPr>
          <w:lang w:val="en-US"/>
        </w:rPr>
        <w:t xml:space="preserve"> my attention on the sensation every time I am experiencing this sensation.</w:t>
      </w:r>
    </w:p>
    <w:p w:rsidR="0078659E" w:rsidRDefault="0078659E" w:rsidP="0078659E">
      <w:pPr>
        <w:pStyle w:val="Funkce"/>
        <w:ind w:left="360"/>
        <w:jc w:val="both"/>
        <w:rPr>
          <w:lang w:val="en-US"/>
        </w:rPr>
      </w:pPr>
    </w:p>
    <w:p w:rsidR="001D3075" w:rsidRDefault="0078659E" w:rsidP="001D3075">
      <w:pPr>
        <w:pStyle w:val="Funkce"/>
        <w:ind w:left="1080"/>
        <w:jc w:val="both"/>
        <w:rPr>
          <w:lang w:val="en-US"/>
        </w:rPr>
      </w:pPr>
      <w:r>
        <w:rPr>
          <w:lang w:val="en-US"/>
        </w:rPr>
        <w:t>–</w:t>
      </w:r>
      <w:r w:rsidRPr="0078659E">
        <w:rPr>
          <w:lang w:val="en-US"/>
        </w:rPr>
        <w:t xml:space="preserve"> But what is this ceremony for? For that</w:t>
      </w:r>
      <w:r w:rsidR="001D3075">
        <w:rPr>
          <w:lang w:val="en-US"/>
        </w:rPr>
        <w:t xml:space="preserve"> </w:t>
      </w:r>
      <w:r w:rsidR="001D3075" w:rsidRPr="001D3075">
        <w:rPr>
          <w:lang w:val="en-US"/>
        </w:rPr>
        <w:t>is all it seems to be! A definition serves to lay down the meaning of a</w:t>
      </w:r>
      <w:r w:rsidR="001D3075">
        <w:rPr>
          <w:lang w:val="en-US"/>
        </w:rPr>
        <w:t xml:space="preserve"> sign, doesn’t it?</w:t>
      </w:r>
    </w:p>
    <w:p w:rsidR="001D3075" w:rsidRDefault="001D3075" w:rsidP="001D3075">
      <w:pPr>
        <w:pStyle w:val="Funkce"/>
        <w:ind w:left="1080"/>
        <w:jc w:val="both"/>
        <w:rPr>
          <w:lang w:val="en-US"/>
        </w:rPr>
      </w:pPr>
      <w:r>
        <w:rPr>
          <w:lang w:val="en-US"/>
        </w:rPr>
        <w:t>–</w:t>
      </w:r>
      <w:r w:rsidRPr="001D3075">
        <w:rPr>
          <w:lang w:val="en-US"/>
        </w:rPr>
        <w:t xml:space="preserve"> Well, that is done precisely by concentrating my attention; for in this way I commit to memory the connection between the</w:t>
      </w:r>
      <w:r>
        <w:rPr>
          <w:lang w:val="en-US"/>
        </w:rPr>
        <w:t xml:space="preserve"> sign and the sensation.</w:t>
      </w:r>
    </w:p>
    <w:p w:rsidR="0078659E" w:rsidRDefault="001D3075" w:rsidP="001D3075">
      <w:pPr>
        <w:pStyle w:val="Funkce"/>
        <w:ind w:left="1080"/>
        <w:jc w:val="both"/>
        <w:rPr>
          <w:lang w:val="en-US"/>
        </w:rPr>
      </w:pPr>
      <w:r>
        <w:rPr>
          <w:lang w:val="en-US"/>
        </w:rPr>
        <w:t>–</w:t>
      </w:r>
      <w:r w:rsidRPr="001D3075">
        <w:rPr>
          <w:lang w:val="en-US"/>
        </w:rPr>
        <w:t xml:space="preserve"> But “I commit it to memory” can only mean:</w:t>
      </w:r>
      <w:r>
        <w:rPr>
          <w:lang w:val="en-US"/>
        </w:rPr>
        <w:t xml:space="preserve"> </w:t>
      </w:r>
      <w:r w:rsidRPr="001D3075">
        <w:rPr>
          <w:lang w:val="en-US"/>
        </w:rPr>
        <w:t xml:space="preserve">this process brings it about that I remember the connection </w:t>
      </w:r>
      <w:r w:rsidRPr="001D3075">
        <w:rPr>
          <w:i/>
          <w:lang w:val="en-US"/>
        </w:rPr>
        <w:t>correctly</w:t>
      </w:r>
      <w:r>
        <w:rPr>
          <w:lang w:val="en-US"/>
        </w:rPr>
        <w:t xml:space="preserve"> </w:t>
      </w:r>
      <w:r w:rsidRPr="001D3075">
        <w:rPr>
          <w:lang w:val="en-US"/>
        </w:rPr>
        <w:t>in the future. But in the present case, I have no criterion of correctness.</w:t>
      </w:r>
      <w:r>
        <w:rPr>
          <w:lang w:val="en-US"/>
        </w:rPr>
        <w:t xml:space="preserve"> </w:t>
      </w:r>
      <w:r w:rsidRPr="001D3075">
        <w:rPr>
          <w:lang w:val="en-US"/>
        </w:rPr>
        <w:t>One would like to say: whatever is going to seem correct to me is correct. And that only means that here we can’t talk about ‘correct’.</w:t>
      </w:r>
      <w:r>
        <w:rPr>
          <w:lang w:val="en-US"/>
        </w:rPr>
        <w:t xml:space="preserve"> (§258)</w:t>
      </w:r>
    </w:p>
    <w:p w:rsidR="001D3075" w:rsidRDefault="001D3075" w:rsidP="001D3075">
      <w:pPr>
        <w:pStyle w:val="Funkce"/>
        <w:ind w:left="1080"/>
        <w:jc w:val="both"/>
        <w:rPr>
          <w:lang w:val="en-US"/>
        </w:rPr>
      </w:pPr>
    </w:p>
    <w:p w:rsidR="0078659E" w:rsidRDefault="001D3075" w:rsidP="001D3075">
      <w:pPr>
        <w:pStyle w:val="Funkce"/>
        <w:numPr>
          <w:ilvl w:val="0"/>
          <w:numId w:val="5"/>
        </w:numPr>
        <w:rPr>
          <w:lang w:val="en-US"/>
        </w:rPr>
      </w:pPr>
      <w:r>
        <w:rPr>
          <w:lang w:val="en-US"/>
        </w:rPr>
        <w:lastRenderedPageBreak/>
        <w:t xml:space="preserve">The structure of this “argument” is the same as that of rule-following: There are some instances, but nothing guarantees a future </w:t>
      </w:r>
      <w:r w:rsidRPr="001D3075">
        <w:rPr>
          <w:i/>
          <w:lang w:val="en-US"/>
        </w:rPr>
        <w:t>correct</w:t>
      </w:r>
      <w:r>
        <w:rPr>
          <w:lang w:val="en-US"/>
        </w:rPr>
        <w:t xml:space="preserve"> application in a novel situation.</w:t>
      </w:r>
    </w:p>
    <w:p w:rsidR="009A7BD3" w:rsidRDefault="009A7BD3" w:rsidP="001D3075">
      <w:pPr>
        <w:pStyle w:val="Funkce"/>
        <w:numPr>
          <w:ilvl w:val="0"/>
          <w:numId w:val="5"/>
        </w:numPr>
        <w:rPr>
          <w:lang w:val="en-US"/>
        </w:rPr>
      </w:pPr>
      <w:r>
        <w:rPr>
          <w:lang w:val="en-US"/>
        </w:rPr>
        <w:t xml:space="preserve">Tentative conclusion (there are only tentative conclusions in Wittgenstein): This method of giving meaning doesn’t work. There must be something else what guarantees future correct applications.  – A </w:t>
      </w:r>
      <w:r w:rsidRPr="009A7BD3">
        <w:rPr>
          <w:b/>
          <w:lang w:val="en-US"/>
        </w:rPr>
        <w:t>public</w:t>
      </w:r>
      <w:r>
        <w:rPr>
          <w:lang w:val="en-US"/>
        </w:rPr>
        <w:t xml:space="preserve"> practice, a form of life. But what does it mean “public”?</w:t>
      </w:r>
    </w:p>
    <w:p w:rsidR="001D3075" w:rsidRDefault="001D3075" w:rsidP="001D3075">
      <w:pPr>
        <w:pStyle w:val="Funkce"/>
        <w:numPr>
          <w:ilvl w:val="0"/>
          <w:numId w:val="5"/>
        </w:numPr>
        <w:rPr>
          <w:lang w:val="en-US"/>
        </w:rPr>
      </w:pPr>
      <w:r>
        <w:rPr>
          <w:lang w:val="en-US"/>
        </w:rPr>
        <w:t>What does this argument amount to?</w:t>
      </w:r>
    </w:p>
    <w:p w:rsidR="001D3075" w:rsidRDefault="009A7BD3" w:rsidP="001D3075">
      <w:pPr>
        <w:pStyle w:val="Funkce"/>
        <w:numPr>
          <w:ilvl w:val="1"/>
          <w:numId w:val="5"/>
        </w:numPr>
        <w:rPr>
          <w:lang w:val="en-US"/>
        </w:rPr>
      </w:pPr>
      <w:r>
        <w:rPr>
          <w:lang w:val="en-US"/>
        </w:rPr>
        <w:t>Refutation of the basic tenets of Descartes’ philosophy, of classical empiricism, of phenomenalism, of sense-date theories of perception?</w:t>
      </w:r>
    </w:p>
    <w:p w:rsidR="001D3075" w:rsidRPr="006A289C" w:rsidRDefault="009A7BD3" w:rsidP="006A289C">
      <w:pPr>
        <w:pStyle w:val="Funkce"/>
        <w:numPr>
          <w:ilvl w:val="1"/>
          <w:numId w:val="5"/>
        </w:numPr>
        <w:rPr>
          <w:lang w:val="en-US"/>
        </w:rPr>
      </w:pPr>
      <w:r>
        <w:rPr>
          <w:lang w:val="en-US"/>
        </w:rPr>
        <w:t xml:space="preserve">It is a kind of verificationist theory of meaning? A defense of logical behaviorism? </w:t>
      </w:r>
    </w:p>
    <w:p w:rsidR="007461C7" w:rsidRDefault="007461C7" w:rsidP="00FC0F3D">
      <w:pPr>
        <w:pStyle w:val="Nadpis4"/>
        <w:rPr>
          <w:lang w:val="en-US"/>
        </w:rPr>
      </w:pPr>
      <w:r>
        <w:rPr>
          <w:lang w:val="en-US"/>
        </w:rPr>
        <w:t>Inner and outer</w:t>
      </w:r>
    </w:p>
    <w:p w:rsidR="00FC0F3D" w:rsidRDefault="00FC0F3D" w:rsidP="00FC0F3D">
      <w:pPr>
        <w:pStyle w:val="Funkce"/>
        <w:numPr>
          <w:ilvl w:val="0"/>
          <w:numId w:val="6"/>
        </w:numPr>
        <w:rPr>
          <w:lang w:val="en-US"/>
        </w:rPr>
      </w:pPr>
      <w:r>
        <w:rPr>
          <w:lang w:val="en-US"/>
        </w:rPr>
        <w:t>If we accept Wittgenstein’s conclusion of the private language argument, what would remain of philosophy of psychology? Could we speak about our inner states at all? Are we committed to behaviorism?</w:t>
      </w:r>
    </w:p>
    <w:p w:rsidR="00FC0F3D" w:rsidRDefault="00FC0F3D" w:rsidP="00FC0F3D">
      <w:pPr>
        <w:pStyle w:val="Funkce"/>
        <w:numPr>
          <w:ilvl w:val="0"/>
          <w:numId w:val="6"/>
        </w:numPr>
        <w:rPr>
          <w:lang w:val="en-US"/>
        </w:rPr>
      </w:pPr>
      <w:r>
        <w:rPr>
          <w:lang w:val="en-US"/>
        </w:rPr>
        <w:t>Behaviorism takes psychological concepts like “S” to mean “S”-behavior.</w:t>
      </w:r>
    </w:p>
    <w:p w:rsidR="00B65253" w:rsidRDefault="00FC0F3D" w:rsidP="00B65253">
      <w:pPr>
        <w:pStyle w:val="Funkce"/>
        <w:numPr>
          <w:ilvl w:val="0"/>
          <w:numId w:val="6"/>
        </w:numPr>
        <w:rPr>
          <w:lang w:val="en-US"/>
        </w:rPr>
      </w:pPr>
      <w:r w:rsidRPr="00B65253">
        <w:rPr>
          <w:lang w:val="en-US"/>
        </w:rPr>
        <w:t xml:space="preserve">Wittgenstein insists that there is a (grammatical!) distinction between the concepts of </w:t>
      </w:r>
      <w:r w:rsidRPr="00B65253">
        <w:rPr>
          <w:i/>
          <w:lang w:val="en-US"/>
        </w:rPr>
        <w:t>pain</w:t>
      </w:r>
      <w:r w:rsidRPr="00B65253">
        <w:rPr>
          <w:lang w:val="en-US"/>
        </w:rPr>
        <w:t xml:space="preserve"> and </w:t>
      </w:r>
      <w:r w:rsidRPr="00B65253">
        <w:rPr>
          <w:i/>
          <w:lang w:val="en-US"/>
        </w:rPr>
        <w:t>pain-behavior</w:t>
      </w:r>
      <w:r w:rsidRPr="00B65253">
        <w:rPr>
          <w:lang w:val="en-US"/>
        </w:rPr>
        <w:t xml:space="preserve"> (or between “pain” and crying).</w:t>
      </w:r>
      <w:r w:rsidR="00B65253" w:rsidRPr="00B65253">
        <w:rPr>
          <w:lang w:val="en-US"/>
        </w:rPr>
        <w:t xml:space="preserve"> I can pretend pain-behavior without </w:t>
      </w:r>
      <w:r w:rsidR="00B65253">
        <w:rPr>
          <w:lang w:val="en-US"/>
        </w:rPr>
        <w:t xml:space="preserve">actually </w:t>
      </w:r>
      <w:r w:rsidR="00B65253" w:rsidRPr="00B65253">
        <w:rPr>
          <w:lang w:val="en-US"/>
        </w:rPr>
        <w:t>being in pain.</w:t>
      </w:r>
    </w:p>
    <w:p w:rsidR="00B65253" w:rsidRDefault="00FC0F3D" w:rsidP="00B65253">
      <w:pPr>
        <w:pStyle w:val="Funkce"/>
        <w:numPr>
          <w:ilvl w:val="0"/>
          <w:numId w:val="6"/>
        </w:numPr>
        <w:rPr>
          <w:lang w:val="en-US"/>
        </w:rPr>
      </w:pPr>
      <w:r w:rsidRPr="00B65253">
        <w:rPr>
          <w:lang w:val="en-US"/>
        </w:rPr>
        <w:t xml:space="preserve">The main question is: What is the nature of </w:t>
      </w:r>
      <w:r w:rsidR="00BF0856" w:rsidRPr="00B65253">
        <w:rPr>
          <w:lang w:val="en-US"/>
        </w:rPr>
        <w:t>the connection between psychological concepts and characteristic form of behavior?</w:t>
      </w:r>
    </w:p>
    <w:p w:rsidR="00B65253" w:rsidRDefault="008279EE" w:rsidP="00B65253">
      <w:pPr>
        <w:pStyle w:val="Funkce"/>
        <w:numPr>
          <w:ilvl w:val="1"/>
          <w:numId w:val="5"/>
        </w:numPr>
        <w:rPr>
          <w:lang w:val="en-US"/>
        </w:rPr>
      </w:pPr>
      <w:r w:rsidRPr="00B65253">
        <w:rPr>
          <w:lang w:val="en-US"/>
        </w:rPr>
        <w:t xml:space="preserve">The grammar of our language can mislead us: If “I </w:t>
      </w:r>
      <w:r w:rsidRPr="00B65253">
        <w:rPr>
          <w:i/>
          <w:lang w:val="en-US"/>
        </w:rPr>
        <w:t>have</w:t>
      </w:r>
      <w:r w:rsidRPr="00B65253">
        <w:rPr>
          <w:lang w:val="en-US"/>
        </w:rPr>
        <w:t xml:space="preserve"> pain” is meaningful, then “Others </w:t>
      </w:r>
      <w:r w:rsidRPr="00B65253">
        <w:rPr>
          <w:i/>
          <w:lang w:val="en-US"/>
        </w:rPr>
        <w:t>have</w:t>
      </w:r>
      <w:r w:rsidRPr="00B65253">
        <w:rPr>
          <w:lang w:val="en-US"/>
        </w:rPr>
        <w:t xml:space="preserve"> pain”</w:t>
      </w:r>
      <w:r w:rsidR="00FC0F3D" w:rsidRPr="00B65253">
        <w:rPr>
          <w:lang w:val="en-US"/>
        </w:rPr>
        <w:t xml:space="preserve"> </w:t>
      </w:r>
      <w:r w:rsidRPr="00B65253">
        <w:rPr>
          <w:lang w:val="en-US"/>
        </w:rPr>
        <w:t xml:space="preserve">too? Maybe “Stones </w:t>
      </w:r>
      <w:r w:rsidRPr="00B65253">
        <w:rPr>
          <w:i/>
          <w:lang w:val="en-US"/>
        </w:rPr>
        <w:t>have</w:t>
      </w:r>
      <w:r w:rsidRPr="00B65253">
        <w:rPr>
          <w:lang w:val="en-US"/>
        </w:rPr>
        <w:t xml:space="preserve"> pain”? Maybe numbers?</w:t>
      </w:r>
    </w:p>
    <w:p w:rsidR="008279EE" w:rsidRDefault="008279EE" w:rsidP="00B65253">
      <w:pPr>
        <w:pStyle w:val="Funkce"/>
        <w:numPr>
          <w:ilvl w:val="1"/>
          <w:numId w:val="5"/>
        </w:numPr>
        <w:rPr>
          <w:lang w:val="en-US"/>
        </w:rPr>
      </w:pPr>
      <w:r w:rsidRPr="00B65253">
        <w:rPr>
          <w:lang w:val="en-US"/>
        </w:rPr>
        <w:t xml:space="preserve">Is this an </w:t>
      </w:r>
      <w:r w:rsidRPr="00B65253">
        <w:rPr>
          <w:i/>
          <w:lang w:val="en-US"/>
        </w:rPr>
        <w:t>object</w:t>
      </w:r>
      <w:r w:rsidRPr="00B65253">
        <w:rPr>
          <w:lang w:val="en-US"/>
        </w:rPr>
        <w:t xml:space="preserve"> at all that can </w:t>
      </w:r>
      <w:r w:rsidRPr="00B65253">
        <w:rPr>
          <w:i/>
          <w:lang w:val="en-US"/>
        </w:rPr>
        <w:t>have</w:t>
      </w:r>
      <w:r w:rsidRPr="00B65253">
        <w:rPr>
          <w:lang w:val="en-US"/>
        </w:rPr>
        <w:t xml:space="preserve"> pain? Can my hand </w:t>
      </w:r>
      <w:r w:rsidRPr="00B65253">
        <w:rPr>
          <w:i/>
          <w:lang w:val="en-US"/>
        </w:rPr>
        <w:t>have</w:t>
      </w:r>
      <w:r w:rsidRPr="00B65253">
        <w:rPr>
          <w:lang w:val="en-US"/>
        </w:rPr>
        <w:t xml:space="preserve"> pain?</w:t>
      </w:r>
      <w:r w:rsidR="00B65253" w:rsidRPr="00B65253">
        <w:rPr>
          <w:lang w:val="en-US"/>
        </w:rPr>
        <w:t xml:space="preserve"> Or only I can </w:t>
      </w:r>
      <w:r w:rsidR="00B65253" w:rsidRPr="00B65253">
        <w:rPr>
          <w:i/>
          <w:lang w:val="en-US"/>
        </w:rPr>
        <w:t>have</w:t>
      </w:r>
      <w:r w:rsidR="00B65253" w:rsidRPr="00B65253">
        <w:rPr>
          <w:lang w:val="en-US"/>
        </w:rPr>
        <w:t xml:space="preserve"> pain?</w:t>
      </w:r>
    </w:p>
    <w:p w:rsidR="00B65253" w:rsidRDefault="00B65253" w:rsidP="00B65253">
      <w:pPr>
        <w:pStyle w:val="Funkce"/>
        <w:numPr>
          <w:ilvl w:val="1"/>
          <w:numId w:val="5"/>
        </w:numPr>
        <w:rPr>
          <w:lang w:val="en-US"/>
        </w:rPr>
      </w:pPr>
      <w:r>
        <w:rPr>
          <w:lang w:val="en-US"/>
        </w:rPr>
        <w:t>There is, however, characteristic pain-behavior which we are taught to replace by the expression “pain”. E.g. “Stop crying and tell me where do you feel pain!”</w:t>
      </w:r>
    </w:p>
    <w:p w:rsidR="003E5FCF" w:rsidRDefault="003E5FCF" w:rsidP="003E5FCF">
      <w:pPr>
        <w:pStyle w:val="Funkce"/>
        <w:numPr>
          <w:ilvl w:val="0"/>
          <w:numId w:val="5"/>
        </w:numPr>
        <w:rPr>
          <w:lang w:val="en-US"/>
        </w:rPr>
      </w:pPr>
      <w:r>
        <w:rPr>
          <w:lang w:val="en-US"/>
        </w:rPr>
        <w:t>Tentative conclusion: “pain” is the (inner) object of crying (outward manifestation).</w:t>
      </w:r>
    </w:p>
    <w:p w:rsidR="00B65253" w:rsidRDefault="003E5FCF" w:rsidP="00B65253">
      <w:pPr>
        <w:pStyle w:val="Funkce"/>
        <w:numPr>
          <w:ilvl w:val="0"/>
          <w:numId w:val="5"/>
        </w:numPr>
        <w:rPr>
          <w:lang w:val="en-US"/>
        </w:rPr>
      </w:pPr>
      <w:r>
        <w:rPr>
          <w:lang w:val="en-US"/>
        </w:rPr>
        <w:t>The following beetle in the box parable seeks to show that this is not so:</w:t>
      </w:r>
    </w:p>
    <w:p w:rsidR="00C4464D" w:rsidRDefault="00C4464D" w:rsidP="00C4464D">
      <w:pPr>
        <w:pStyle w:val="Funkce"/>
        <w:ind w:left="360"/>
        <w:jc w:val="both"/>
        <w:rPr>
          <w:lang w:val="en-US"/>
        </w:rPr>
      </w:pPr>
    </w:p>
    <w:p w:rsidR="00B65253" w:rsidRDefault="00B65253" w:rsidP="00C4464D">
      <w:pPr>
        <w:pStyle w:val="Funkce"/>
        <w:ind w:left="360"/>
        <w:jc w:val="both"/>
        <w:rPr>
          <w:lang w:val="en-US"/>
        </w:rPr>
      </w:pPr>
      <w:r w:rsidRPr="00C4464D">
        <w:rPr>
          <w:lang w:val="en-US"/>
        </w:rPr>
        <w:t>Suppose everyone had a box with something in it: we call it a</w:t>
      </w:r>
      <w:r w:rsidR="00C4464D" w:rsidRPr="00C4464D">
        <w:rPr>
          <w:lang w:val="en-US"/>
        </w:rPr>
        <w:t xml:space="preserve"> </w:t>
      </w:r>
      <w:r w:rsidRPr="00C4464D">
        <w:rPr>
          <w:lang w:val="en-US"/>
        </w:rPr>
        <w:t>“beetle”. No one can look into anyone else’s box, and everyone</w:t>
      </w:r>
      <w:r w:rsidR="00C4464D" w:rsidRPr="00C4464D">
        <w:rPr>
          <w:lang w:val="en-US"/>
        </w:rPr>
        <w:t xml:space="preserve"> </w:t>
      </w:r>
      <w:r w:rsidRPr="00C4464D">
        <w:rPr>
          <w:lang w:val="en-US"/>
        </w:rPr>
        <w:t xml:space="preserve">says he knows what a beetle is only by looking at </w:t>
      </w:r>
      <w:r w:rsidRPr="00C4464D">
        <w:rPr>
          <w:i/>
          <w:lang w:val="en-US"/>
        </w:rPr>
        <w:t>his</w:t>
      </w:r>
      <w:r w:rsidRPr="00C4464D">
        <w:rPr>
          <w:lang w:val="en-US"/>
        </w:rPr>
        <w:t xml:space="preserve"> beetle. —</w:t>
      </w:r>
      <w:r w:rsidR="00C4464D" w:rsidRPr="00C4464D">
        <w:rPr>
          <w:lang w:val="en-US"/>
        </w:rPr>
        <w:t xml:space="preserve"> </w:t>
      </w:r>
      <w:r w:rsidRPr="00C4464D">
        <w:rPr>
          <w:lang w:val="en-US"/>
        </w:rPr>
        <w:t>Here it would be quite possible for everyone to have something</w:t>
      </w:r>
      <w:r w:rsidR="00C4464D" w:rsidRPr="00C4464D">
        <w:rPr>
          <w:lang w:val="en-US"/>
        </w:rPr>
        <w:t xml:space="preserve"> </w:t>
      </w:r>
      <w:r w:rsidRPr="00C4464D">
        <w:rPr>
          <w:lang w:val="en-US"/>
        </w:rPr>
        <w:t>different in his box. One might even imagine such a thing</w:t>
      </w:r>
      <w:r w:rsidR="00C4464D" w:rsidRPr="00C4464D">
        <w:rPr>
          <w:lang w:val="en-US"/>
        </w:rPr>
        <w:t xml:space="preserve"> </w:t>
      </w:r>
      <w:r w:rsidRPr="00C4464D">
        <w:rPr>
          <w:lang w:val="en-US"/>
        </w:rPr>
        <w:t>constantly changing. —But suppose the word “beetle” had a use</w:t>
      </w:r>
      <w:r w:rsidR="00C4464D" w:rsidRPr="00C4464D">
        <w:rPr>
          <w:lang w:val="en-US"/>
        </w:rPr>
        <w:t xml:space="preserve"> </w:t>
      </w:r>
      <w:r w:rsidRPr="00C4464D">
        <w:rPr>
          <w:lang w:val="en-US"/>
        </w:rPr>
        <w:t>in these people’s language? —If so it would not be used as the</w:t>
      </w:r>
      <w:r w:rsidR="00C4464D" w:rsidRPr="00C4464D">
        <w:rPr>
          <w:lang w:val="en-US"/>
        </w:rPr>
        <w:t xml:space="preserve"> </w:t>
      </w:r>
      <w:r w:rsidRPr="00C4464D">
        <w:rPr>
          <w:lang w:val="en-US"/>
        </w:rPr>
        <w:t>name of a thing. The thing in the box has no place in the language</w:t>
      </w:r>
      <w:r w:rsidR="00C4464D" w:rsidRPr="00C4464D">
        <w:rPr>
          <w:lang w:val="en-US"/>
        </w:rPr>
        <w:t>-</w:t>
      </w:r>
      <w:r w:rsidRPr="00C4464D">
        <w:rPr>
          <w:lang w:val="en-US"/>
        </w:rPr>
        <w:t xml:space="preserve">game at all; not even as a </w:t>
      </w:r>
      <w:r w:rsidRPr="00C4464D">
        <w:rPr>
          <w:i/>
          <w:lang w:val="en-US"/>
        </w:rPr>
        <w:t>something</w:t>
      </w:r>
      <w:r w:rsidRPr="00C4464D">
        <w:rPr>
          <w:lang w:val="en-US"/>
        </w:rPr>
        <w:t>: for the box might even be</w:t>
      </w:r>
      <w:r w:rsidR="00C4464D" w:rsidRPr="00C4464D">
        <w:rPr>
          <w:lang w:val="en-US"/>
        </w:rPr>
        <w:t xml:space="preserve"> empty. —No, one can ‘divide through’ by the thing in the box; it</w:t>
      </w:r>
      <w:r w:rsidR="00C4464D">
        <w:rPr>
          <w:lang w:val="en-US"/>
        </w:rPr>
        <w:t xml:space="preserve"> </w:t>
      </w:r>
      <w:r w:rsidR="00C4464D" w:rsidRPr="00C4464D">
        <w:rPr>
          <w:lang w:val="en-US"/>
        </w:rPr>
        <w:t>cancels out, whatever it is.</w:t>
      </w:r>
      <w:r w:rsidR="00C4464D">
        <w:rPr>
          <w:lang w:val="en-US"/>
        </w:rPr>
        <w:t xml:space="preserve"> (§293)</w:t>
      </w:r>
    </w:p>
    <w:p w:rsidR="00C4464D" w:rsidRDefault="00C4464D" w:rsidP="00C4464D">
      <w:pPr>
        <w:pStyle w:val="Funkce"/>
        <w:ind w:left="360"/>
        <w:jc w:val="both"/>
        <w:rPr>
          <w:lang w:val="en-US"/>
        </w:rPr>
      </w:pPr>
    </w:p>
    <w:p w:rsidR="00C4464D" w:rsidRDefault="00C4464D" w:rsidP="00652C5C">
      <w:pPr>
        <w:pStyle w:val="Funkce"/>
        <w:numPr>
          <w:ilvl w:val="0"/>
          <w:numId w:val="5"/>
        </w:numPr>
        <w:rPr>
          <w:lang w:val="en-US"/>
        </w:rPr>
      </w:pPr>
      <w:r>
        <w:rPr>
          <w:lang w:val="en-US"/>
        </w:rPr>
        <w:t>There is a language-game with the word</w:t>
      </w:r>
      <w:r w:rsidR="000143FD">
        <w:rPr>
          <w:lang w:val="en-US"/>
        </w:rPr>
        <w:t>s</w:t>
      </w:r>
      <w:r>
        <w:rPr>
          <w:lang w:val="en-US"/>
        </w:rPr>
        <w:t xml:space="preserve"> “beetle”</w:t>
      </w:r>
      <w:r w:rsidR="000143FD">
        <w:rPr>
          <w:lang w:val="en-US"/>
        </w:rPr>
        <w:t xml:space="preserve"> and “box”</w:t>
      </w:r>
      <w:r>
        <w:rPr>
          <w:lang w:val="en-US"/>
        </w:rPr>
        <w:t>.</w:t>
      </w:r>
      <w:r w:rsidR="003E5FCF">
        <w:rPr>
          <w:lang w:val="en-US"/>
        </w:rPr>
        <w:t xml:space="preserve"> But is there any connection between the beetle and the box at all?</w:t>
      </w:r>
    </w:p>
    <w:p w:rsidR="007272B2" w:rsidRDefault="003E5FCF" w:rsidP="00652C5C">
      <w:pPr>
        <w:pStyle w:val="Funkce"/>
        <w:numPr>
          <w:ilvl w:val="0"/>
          <w:numId w:val="5"/>
        </w:numPr>
        <w:rPr>
          <w:lang w:val="en-US"/>
        </w:rPr>
      </w:pPr>
      <w:r>
        <w:rPr>
          <w:lang w:val="en-US"/>
        </w:rPr>
        <w:t xml:space="preserve">There is no independent meaning of “beetle” </w:t>
      </w:r>
      <w:r w:rsidR="00D11172">
        <w:rPr>
          <w:lang w:val="en-US"/>
        </w:rPr>
        <w:t>apart from</w:t>
      </w:r>
      <w:r>
        <w:rPr>
          <w:lang w:val="en-US"/>
        </w:rPr>
        <w:t xml:space="preserve"> “any</w:t>
      </w:r>
      <w:r w:rsidRPr="003E5FCF">
        <w:rPr>
          <w:i/>
          <w:lang w:val="en-US"/>
        </w:rPr>
        <w:t>thing</w:t>
      </w:r>
      <w:r>
        <w:rPr>
          <w:lang w:val="en-US"/>
        </w:rPr>
        <w:t xml:space="preserve"> inside the box”. But the pronoun “any</w:t>
      </w:r>
      <w:r w:rsidRPr="003E5FCF">
        <w:rPr>
          <w:i/>
          <w:lang w:val="en-US"/>
        </w:rPr>
        <w:t>thing</w:t>
      </w:r>
      <w:r>
        <w:rPr>
          <w:lang w:val="en-US"/>
        </w:rPr>
        <w:t xml:space="preserve">” suggests that “beetle” refers to a </w:t>
      </w:r>
      <w:r w:rsidRPr="003E5FCF">
        <w:rPr>
          <w:i/>
          <w:lang w:val="en-US"/>
        </w:rPr>
        <w:t>thing</w:t>
      </w:r>
      <w:r>
        <w:rPr>
          <w:lang w:val="en-US"/>
        </w:rPr>
        <w:t>, to an object.</w:t>
      </w:r>
      <w:r w:rsidR="00D11172">
        <w:rPr>
          <w:lang w:val="en-US"/>
        </w:rPr>
        <w:t xml:space="preserve"> Once again, the grammar of English/German can mislead us.</w:t>
      </w:r>
    </w:p>
    <w:p w:rsidR="003E5FCF" w:rsidRDefault="003E5FCF" w:rsidP="00652C5C">
      <w:pPr>
        <w:pStyle w:val="Funkce"/>
        <w:numPr>
          <w:ilvl w:val="0"/>
          <w:numId w:val="5"/>
        </w:numPr>
        <w:rPr>
          <w:lang w:val="en-US"/>
        </w:rPr>
      </w:pPr>
      <w:r>
        <w:rPr>
          <w:lang w:val="en-US"/>
        </w:rPr>
        <w:lastRenderedPageBreak/>
        <w:t xml:space="preserve"> </w:t>
      </w:r>
      <w:r w:rsidR="007272B2">
        <w:rPr>
          <w:lang w:val="en-US"/>
        </w:rPr>
        <w:t xml:space="preserve">A positive picture: The relation between </w:t>
      </w:r>
      <w:r w:rsidR="00784C85">
        <w:rPr>
          <w:lang w:val="en-US"/>
        </w:rPr>
        <w:t xml:space="preserve">psychological concepts </w:t>
      </w:r>
      <w:r w:rsidR="007272B2">
        <w:rPr>
          <w:lang w:val="en-US"/>
        </w:rPr>
        <w:t xml:space="preserve">and characteristic behavior is akin to </w:t>
      </w:r>
      <w:r w:rsidR="00784C85">
        <w:rPr>
          <w:lang w:val="en-US"/>
        </w:rPr>
        <w:t xml:space="preserve">psych. concepts </w:t>
      </w:r>
      <w:r w:rsidR="007272B2">
        <w:rPr>
          <w:lang w:val="en-US"/>
        </w:rPr>
        <w:t xml:space="preserve">and facial expressions. </w:t>
      </w:r>
      <w:r w:rsidR="00784C85">
        <w:rPr>
          <w:lang w:val="en-US"/>
        </w:rPr>
        <w:t xml:space="preserve">E.g. </w:t>
      </w:r>
      <w:r w:rsidR="007272B2">
        <w:rPr>
          <w:lang w:val="en-US"/>
        </w:rPr>
        <w:t>“I read</w:t>
      </w:r>
      <w:r w:rsidR="00EC4F9A">
        <w:rPr>
          <w:lang w:val="en-US"/>
        </w:rPr>
        <w:t xml:space="preserve"> timidity in his face” (§5</w:t>
      </w:r>
      <w:r w:rsidR="00784C85">
        <w:rPr>
          <w:lang w:val="en-US"/>
        </w:rPr>
        <w:t>3</w:t>
      </w:r>
      <w:r w:rsidR="00EC4F9A">
        <w:rPr>
          <w:lang w:val="en-US"/>
        </w:rPr>
        <w:t>7</w:t>
      </w:r>
      <w:r w:rsidR="00784C85">
        <w:rPr>
          <w:lang w:val="en-US"/>
        </w:rPr>
        <w:t>) or “a smiling face” (§539).</w:t>
      </w:r>
      <w:r w:rsidR="007272B2">
        <w:rPr>
          <w:lang w:val="en-US"/>
        </w:rPr>
        <w:t xml:space="preserve"> </w:t>
      </w:r>
      <w:r w:rsidR="00784C85">
        <w:rPr>
          <w:lang w:val="en-US"/>
        </w:rPr>
        <w:t>These kinds of expressions are a part of our form of life.</w:t>
      </w:r>
    </w:p>
    <w:p w:rsidR="007461C7" w:rsidRDefault="007461C7" w:rsidP="00FC0F3D">
      <w:pPr>
        <w:pStyle w:val="Nadpis4"/>
        <w:rPr>
          <w:lang w:val="en-US"/>
        </w:rPr>
      </w:pPr>
      <w:r>
        <w:rPr>
          <w:lang w:val="en-US"/>
        </w:rPr>
        <w:t>A</w:t>
      </w:r>
      <w:r w:rsidR="008E14E6">
        <w:rPr>
          <w:lang w:val="en-US"/>
        </w:rPr>
        <w:t>spect seeing</w:t>
      </w:r>
    </w:p>
    <w:p w:rsidR="00FE26FE" w:rsidRPr="00FE26FE" w:rsidRDefault="00FE26FE" w:rsidP="00652C5C">
      <w:pPr>
        <w:pStyle w:val="Funkce"/>
        <w:numPr>
          <w:ilvl w:val="0"/>
          <w:numId w:val="7"/>
        </w:numPr>
        <w:rPr>
          <w:lang w:val="en-US"/>
        </w:rPr>
      </w:pPr>
      <w:r w:rsidRPr="00FE26FE">
        <w:rPr>
          <w:lang w:val="en-US"/>
        </w:rPr>
        <w:t xml:space="preserve">This topic comes from the second part of the </w:t>
      </w:r>
      <w:r w:rsidRPr="00FE26FE">
        <w:rPr>
          <w:i/>
          <w:lang w:val="en-US"/>
        </w:rPr>
        <w:t>Philosophical Investigations</w:t>
      </w:r>
      <w:r w:rsidRPr="00FE26FE">
        <w:rPr>
          <w:lang w:val="en-US"/>
        </w:rPr>
        <w:t xml:space="preserve"> (today labeled “Philosophy of Psychology </w:t>
      </w:r>
      <w:r>
        <w:rPr>
          <w:lang w:val="en-US"/>
        </w:rPr>
        <w:t>–</w:t>
      </w:r>
      <w:r w:rsidRPr="00FE26FE">
        <w:rPr>
          <w:lang w:val="en-US"/>
        </w:rPr>
        <w:t xml:space="preserve"> A Fragment</w:t>
      </w:r>
      <w:r>
        <w:rPr>
          <w:lang w:val="en-US"/>
        </w:rPr>
        <w:t>”</w:t>
      </w:r>
      <w:r w:rsidRPr="00FE26FE">
        <w:rPr>
          <w:lang w:val="en-US"/>
        </w:rPr>
        <w:t xml:space="preserve">). The </w:t>
      </w:r>
      <w:r w:rsidR="00475946">
        <w:rPr>
          <w:lang w:val="en-US"/>
        </w:rPr>
        <w:t xml:space="preserve">form </w:t>
      </w:r>
      <w:r w:rsidRPr="00FE26FE">
        <w:rPr>
          <w:lang w:val="en-US"/>
        </w:rPr>
        <w:t>is different:</w:t>
      </w:r>
      <w:r>
        <w:rPr>
          <w:lang w:val="en-US"/>
        </w:rPr>
        <w:t xml:space="preserve"> </w:t>
      </w:r>
      <w:r w:rsidR="00475946">
        <w:rPr>
          <w:lang w:val="en-US"/>
        </w:rPr>
        <w:t xml:space="preserve">There are 14 sections more less corresponding the original manuscripts. Wittgenstein didn’t manage to incorporate them in the main body of the </w:t>
      </w:r>
      <w:r w:rsidR="00475946" w:rsidRPr="00475946">
        <w:rPr>
          <w:i/>
          <w:lang w:val="en-US"/>
        </w:rPr>
        <w:t>Philosophical Investigations</w:t>
      </w:r>
      <w:r w:rsidR="00475946">
        <w:rPr>
          <w:lang w:val="en-US"/>
        </w:rPr>
        <w:t>.</w:t>
      </w:r>
      <w:r w:rsidRPr="00FE26FE">
        <w:rPr>
          <w:lang w:val="en-US"/>
        </w:rPr>
        <w:t xml:space="preserve"> </w:t>
      </w:r>
    </w:p>
    <w:p w:rsidR="008E14E6" w:rsidRDefault="00FE26FE" w:rsidP="00FE26FE">
      <w:pPr>
        <w:pStyle w:val="Funkce"/>
        <w:numPr>
          <w:ilvl w:val="0"/>
          <w:numId w:val="7"/>
        </w:numPr>
        <w:rPr>
          <w:lang w:val="en-US"/>
        </w:rPr>
      </w:pPr>
      <w:r>
        <w:rPr>
          <w:lang w:val="en-US"/>
        </w:rPr>
        <w:t xml:space="preserve">How do we </w:t>
      </w:r>
      <w:r w:rsidR="00475946">
        <w:rPr>
          <w:lang w:val="en-US"/>
        </w:rPr>
        <w:t>recognize smile/fear/timidity in a facial expression?</w:t>
      </w:r>
    </w:p>
    <w:p w:rsidR="00475946" w:rsidRDefault="00475946" w:rsidP="00475946">
      <w:pPr>
        <w:pStyle w:val="Funkce"/>
        <w:numPr>
          <w:ilvl w:val="1"/>
          <w:numId w:val="7"/>
        </w:numPr>
        <w:rPr>
          <w:lang w:val="en-US"/>
        </w:rPr>
      </w:pPr>
      <w:r>
        <w:rPr>
          <w:lang w:val="en-US"/>
        </w:rPr>
        <w:t xml:space="preserve">We can say: I </w:t>
      </w:r>
      <w:r w:rsidRPr="00475946">
        <w:rPr>
          <w:i/>
          <w:lang w:val="en-US"/>
        </w:rPr>
        <w:t>see</w:t>
      </w:r>
      <w:r>
        <w:rPr>
          <w:lang w:val="en-US"/>
        </w:rPr>
        <w:t xml:space="preserve"> this face </w:t>
      </w:r>
      <w:r w:rsidRPr="00475946">
        <w:rPr>
          <w:i/>
          <w:lang w:val="en-US"/>
        </w:rPr>
        <w:t xml:space="preserve">as </w:t>
      </w:r>
      <w:r>
        <w:rPr>
          <w:lang w:val="en-US"/>
        </w:rPr>
        <w:t>smiling/frowning/threatening.</w:t>
      </w:r>
    </w:p>
    <w:p w:rsidR="004C1307" w:rsidRDefault="004C1307" w:rsidP="00475946">
      <w:pPr>
        <w:pStyle w:val="Funkce"/>
        <w:numPr>
          <w:ilvl w:val="1"/>
          <w:numId w:val="7"/>
        </w:numPr>
        <w:rPr>
          <w:lang w:val="en-US"/>
        </w:rPr>
      </w:pPr>
      <w:r>
        <w:rPr>
          <w:lang w:val="en-US"/>
        </w:rPr>
        <w:t>These aren’t any features or properties of a face.</w:t>
      </w:r>
    </w:p>
    <w:p w:rsidR="00475946" w:rsidRDefault="00475946" w:rsidP="00FE26FE">
      <w:pPr>
        <w:pStyle w:val="Funkce"/>
        <w:numPr>
          <w:ilvl w:val="0"/>
          <w:numId w:val="7"/>
        </w:numPr>
        <w:rPr>
          <w:lang w:val="en-US"/>
        </w:rPr>
      </w:pPr>
      <w:r>
        <w:rPr>
          <w:lang w:val="en-US"/>
        </w:rPr>
        <w:t xml:space="preserve">How can we </w:t>
      </w:r>
      <w:r w:rsidRPr="00475946">
        <w:rPr>
          <w:i/>
          <w:lang w:val="en-US"/>
        </w:rPr>
        <w:t>see</w:t>
      </w:r>
      <w:r>
        <w:rPr>
          <w:lang w:val="en-US"/>
        </w:rPr>
        <w:t xml:space="preserve"> or recognize something </w:t>
      </w:r>
      <w:r w:rsidRPr="00475946">
        <w:rPr>
          <w:i/>
          <w:lang w:val="en-US"/>
        </w:rPr>
        <w:t>as</w:t>
      </w:r>
      <w:r>
        <w:rPr>
          <w:lang w:val="en-US"/>
        </w:rPr>
        <w:t xml:space="preserve"> or in something else?</w:t>
      </w:r>
    </w:p>
    <w:p w:rsidR="004C1307" w:rsidRDefault="004C1307" w:rsidP="004C1307">
      <w:pPr>
        <w:pStyle w:val="Funkce"/>
        <w:numPr>
          <w:ilvl w:val="0"/>
          <w:numId w:val="7"/>
        </w:numPr>
        <w:rPr>
          <w:lang w:val="en-US"/>
        </w:rPr>
      </w:pPr>
      <w:r>
        <w:rPr>
          <w:lang w:val="en-US"/>
        </w:rPr>
        <w:t xml:space="preserve">There is the difference between </w:t>
      </w:r>
      <w:r w:rsidRPr="004C1307">
        <w:rPr>
          <w:i/>
          <w:lang w:val="en-US"/>
        </w:rPr>
        <w:t>seeing</w:t>
      </w:r>
      <w:r>
        <w:rPr>
          <w:lang w:val="en-US"/>
        </w:rPr>
        <w:t xml:space="preserve"> something and </w:t>
      </w:r>
      <w:r w:rsidRPr="004C1307">
        <w:rPr>
          <w:i/>
          <w:lang w:val="en-US"/>
        </w:rPr>
        <w:t>seeing</w:t>
      </w:r>
      <w:r>
        <w:rPr>
          <w:lang w:val="en-US"/>
        </w:rPr>
        <w:t xml:space="preserve"> something </w:t>
      </w:r>
      <w:r w:rsidRPr="004C1307">
        <w:rPr>
          <w:i/>
          <w:lang w:val="en-US"/>
        </w:rPr>
        <w:t>as</w:t>
      </w:r>
      <w:r>
        <w:rPr>
          <w:lang w:val="en-US"/>
        </w:rPr>
        <w:t xml:space="preserve"> something else. That is: ‘There are two uses of the word “see”: </w:t>
      </w:r>
      <w:r w:rsidRPr="004C1307">
        <w:rPr>
          <w:lang w:val="en-US"/>
        </w:rPr>
        <w:t>The one: “What do you see there?” — “I see this” (and then a description, a drawing, a copy). The other: “I see a likeness between these two faces”.</w:t>
      </w:r>
      <w:r>
        <w:rPr>
          <w:lang w:val="en-US"/>
        </w:rPr>
        <w:t>’ (PIF, §111)</w:t>
      </w:r>
    </w:p>
    <w:p w:rsidR="007D3963" w:rsidRPr="004C1307" w:rsidRDefault="007D3963" w:rsidP="004C1307">
      <w:pPr>
        <w:pStyle w:val="Funkce"/>
        <w:numPr>
          <w:ilvl w:val="0"/>
          <w:numId w:val="7"/>
        </w:numPr>
        <w:rPr>
          <w:lang w:val="en-US"/>
        </w:rPr>
      </w:pPr>
      <w:r>
        <w:rPr>
          <w:lang w:val="en-US"/>
        </w:rPr>
        <w:t>Look at the following picture:</w:t>
      </w:r>
    </w:p>
    <w:p w:rsidR="004C1307" w:rsidRDefault="00E95B0C" w:rsidP="007D3963">
      <w:pPr>
        <w:pStyle w:val="Funkce"/>
        <w:ind w:left="360"/>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101.25pt">
            <v:imagedata r:id="rId8" o:title="fig7"/>
          </v:shape>
        </w:pict>
      </w:r>
    </w:p>
    <w:p w:rsidR="007D3963" w:rsidRDefault="007D3963" w:rsidP="007D3963">
      <w:pPr>
        <w:pStyle w:val="Funkce"/>
        <w:ind w:left="360"/>
        <w:rPr>
          <w:lang w:val="en-US"/>
        </w:rPr>
      </w:pPr>
      <w:r>
        <w:rPr>
          <w:lang w:val="en-US"/>
        </w:rPr>
        <w:t xml:space="preserve">The picture is ambiguous. It can be </w:t>
      </w:r>
      <w:r w:rsidRPr="007D3963">
        <w:rPr>
          <w:i/>
          <w:lang w:val="en-US"/>
        </w:rPr>
        <w:t>seen as</w:t>
      </w:r>
      <w:r>
        <w:rPr>
          <w:lang w:val="en-US"/>
        </w:rPr>
        <w:t xml:space="preserve"> a duck or </w:t>
      </w:r>
      <w:r w:rsidRPr="007D3963">
        <w:rPr>
          <w:i/>
          <w:lang w:val="en-US"/>
        </w:rPr>
        <w:t>as</w:t>
      </w:r>
      <w:r>
        <w:rPr>
          <w:lang w:val="en-US"/>
        </w:rPr>
        <w:t xml:space="preserve"> a rabbit.</w:t>
      </w:r>
    </w:p>
    <w:p w:rsidR="007D3963" w:rsidRDefault="007D3963" w:rsidP="007D3963">
      <w:pPr>
        <w:pStyle w:val="Funkce"/>
        <w:numPr>
          <w:ilvl w:val="0"/>
          <w:numId w:val="7"/>
        </w:numPr>
        <w:rPr>
          <w:lang w:val="en-US"/>
        </w:rPr>
      </w:pPr>
      <w:r>
        <w:rPr>
          <w:lang w:val="en-US"/>
        </w:rPr>
        <w:t>Pay attention at the moment when you realized that the picture is ambiguous, i.e. when you see the other aspect. This is the experience of the change of aspect. But the picture is still the same.</w:t>
      </w:r>
    </w:p>
    <w:p w:rsidR="007D3963" w:rsidRDefault="007D3963" w:rsidP="007D3963">
      <w:pPr>
        <w:pStyle w:val="Funkce"/>
        <w:numPr>
          <w:ilvl w:val="0"/>
          <w:numId w:val="7"/>
        </w:numPr>
        <w:rPr>
          <w:lang w:val="en-US"/>
        </w:rPr>
      </w:pPr>
      <w:r w:rsidRPr="007D3963">
        <w:rPr>
          <w:lang w:val="en-US"/>
        </w:rPr>
        <w:t xml:space="preserve">This is a kind of paradox: “The expression of a change of aspect is an expression of a </w:t>
      </w:r>
      <w:r w:rsidRPr="007D3963">
        <w:rPr>
          <w:i/>
          <w:lang w:val="en-US"/>
        </w:rPr>
        <w:t>new</w:t>
      </w:r>
      <w:r w:rsidRPr="007D3963">
        <w:rPr>
          <w:lang w:val="en-US"/>
        </w:rPr>
        <w:t xml:space="preserve"> perception and, at the same time, an expression of an unchanged</w:t>
      </w:r>
      <w:r>
        <w:rPr>
          <w:lang w:val="en-US"/>
        </w:rPr>
        <w:t xml:space="preserve"> </w:t>
      </w:r>
      <w:r w:rsidRPr="007D3963">
        <w:rPr>
          <w:lang w:val="en-US"/>
        </w:rPr>
        <w:t>perception.</w:t>
      </w:r>
      <w:r>
        <w:rPr>
          <w:lang w:val="en-US"/>
        </w:rPr>
        <w:t>” (PIF, §130)</w:t>
      </w:r>
    </w:p>
    <w:p w:rsidR="000D0DAC" w:rsidRDefault="000D0DAC" w:rsidP="00652C5C">
      <w:pPr>
        <w:pStyle w:val="Funkce"/>
        <w:numPr>
          <w:ilvl w:val="0"/>
          <w:numId w:val="7"/>
        </w:numPr>
        <w:rPr>
          <w:lang w:val="en-US"/>
        </w:rPr>
      </w:pPr>
      <w:r w:rsidRPr="000D0DAC">
        <w:rPr>
          <w:lang w:val="en-US"/>
        </w:rPr>
        <w:t>Wittgenstein says that “what I perceive in the lighting up of an aspect is not a property of the object, but an internal relation between it and other objects.</w:t>
      </w:r>
      <w:r>
        <w:rPr>
          <w:lang w:val="en-US"/>
        </w:rPr>
        <w:t>” (PIF, §247)</w:t>
      </w:r>
    </w:p>
    <w:p w:rsidR="000D0DAC" w:rsidRDefault="000D0DAC" w:rsidP="00652C5C">
      <w:pPr>
        <w:pStyle w:val="Funkce"/>
        <w:numPr>
          <w:ilvl w:val="0"/>
          <w:numId w:val="7"/>
        </w:numPr>
        <w:rPr>
          <w:lang w:val="en-US"/>
        </w:rPr>
      </w:pPr>
      <w:r>
        <w:rPr>
          <w:lang w:val="en-US"/>
        </w:rPr>
        <w:t xml:space="preserve">An internal relation is a </w:t>
      </w:r>
      <w:r w:rsidR="00DD69A3">
        <w:rPr>
          <w:lang w:val="en-US"/>
        </w:rPr>
        <w:t xml:space="preserve">grammatical </w:t>
      </w:r>
      <w:r>
        <w:rPr>
          <w:lang w:val="en-US"/>
        </w:rPr>
        <w:t>relation between two concepts (of a duck-shape and of a rabbit-shape).</w:t>
      </w:r>
    </w:p>
    <w:p w:rsidR="008E14E6" w:rsidRDefault="00DD69A3" w:rsidP="00AC2D36">
      <w:pPr>
        <w:pStyle w:val="Funkce"/>
        <w:numPr>
          <w:ilvl w:val="0"/>
          <w:numId w:val="7"/>
        </w:numPr>
        <w:rPr>
          <w:lang w:val="en-US"/>
        </w:rPr>
      </w:pPr>
      <w:r>
        <w:rPr>
          <w:lang w:val="en-US"/>
        </w:rPr>
        <w:t xml:space="preserve">The sentence “I see this picture as a rabbit” doesn’t express any property of the picture, but rather an internal relation between the two involved concepts. </w:t>
      </w:r>
    </w:p>
    <w:p w:rsidR="00652C5C" w:rsidRDefault="00652C5C" w:rsidP="00652C5C">
      <w:pPr>
        <w:pStyle w:val="Nadpis4"/>
        <w:rPr>
          <w:lang w:val="en-US"/>
        </w:rPr>
      </w:pPr>
      <w:r>
        <w:rPr>
          <w:lang w:val="en-US"/>
        </w:rPr>
        <w:t>Further reading</w:t>
      </w:r>
    </w:p>
    <w:p w:rsidR="002D23A3" w:rsidRDefault="002D23A3" w:rsidP="00652C5C">
      <w:pPr>
        <w:pStyle w:val="Odstavecseseznamem"/>
        <w:numPr>
          <w:ilvl w:val="0"/>
          <w:numId w:val="8"/>
        </w:numPr>
        <w:rPr>
          <w:lang w:val="en-US"/>
        </w:rPr>
      </w:pPr>
      <w:r>
        <w:rPr>
          <w:lang w:val="en-US"/>
        </w:rPr>
        <w:t xml:space="preserve">Ludwig Wittgenstein, </w:t>
      </w:r>
      <w:r w:rsidRPr="002D23A3">
        <w:rPr>
          <w:i/>
          <w:lang w:val="en-US"/>
        </w:rPr>
        <w:t>Philosophical Investigations</w:t>
      </w:r>
      <w:r>
        <w:rPr>
          <w:lang w:val="en-US"/>
        </w:rPr>
        <w:t>, The German text, with an English translation by G. E. M. Anscombe, P. M. S. Hacker and Joachim Schulte, revised 4th edition by P. M. S. Hacker and Joachim Schulte, Wiley-Blackwell, 2009. [Use this translation/edition.]</w:t>
      </w:r>
    </w:p>
    <w:p w:rsidR="002D23A3" w:rsidRDefault="002D23A3" w:rsidP="002D23A3">
      <w:pPr>
        <w:pStyle w:val="Odstavecseseznamem"/>
        <w:ind w:left="360"/>
        <w:rPr>
          <w:lang w:val="en-US"/>
        </w:rPr>
      </w:pPr>
      <w:r>
        <w:rPr>
          <w:lang w:val="en-US"/>
        </w:rPr>
        <w:t xml:space="preserve"> </w:t>
      </w:r>
    </w:p>
    <w:p w:rsidR="00652C5C" w:rsidRDefault="00652C5C" w:rsidP="00652C5C">
      <w:pPr>
        <w:pStyle w:val="Odstavecseseznamem"/>
        <w:numPr>
          <w:ilvl w:val="0"/>
          <w:numId w:val="8"/>
        </w:numPr>
        <w:rPr>
          <w:lang w:val="en-US"/>
        </w:rPr>
      </w:pPr>
      <w:r w:rsidRPr="00652C5C">
        <w:rPr>
          <w:lang w:val="en-US"/>
        </w:rPr>
        <w:lastRenderedPageBreak/>
        <w:t xml:space="preserve">Marie McGinn, </w:t>
      </w:r>
      <w:r w:rsidRPr="00652C5C">
        <w:rPr>
          <w:i/>
          <w:lang w:val="en-US"/>
        </w:rPr>
        <w:t>Wittgenstein and the</w:t>
      </w:r>
      <w:r w:rsidRPr="00652C5C">
        <w:rPr>
          <w:lang w:val="en-US"/>
        </w:rPr>
        <w:t xml:space="preserve"> Philosophical Investigations</w:t>
      </w:r>
      <w:r>
        <w:rPr>
          <w:lang w:val="en-US"/>
        </w:rPr>
        <w:t>, Routledge, 1997.</w:t>
      </w:r>
      <w:r w:rsidR="002D23A3">
        <w:rPr>
          <w:lang w:val="en-US"/>
        </w:rPr>
        <w:t xml:space="preserve"> [Good as the first introduction for students]</w:t>
      </w:r>
    </w:p>
    <w:p w:rsidR="002D23A3" w:rsidRDefault="00652C5C" w:rsidP="002D23A3">
      <w:pPr>
        <w:pStyle w:val="Odstavecseseznamem"/>
        <w:numPr>
          <w:ilvl w:val="0"/>
          <w:numId w:val="8"/>
        </w:numPr>
        <w:rPr>
          <w:lang w:val="en-US"/>
        </w:rPr>
      </w:pPr>
      <w:r w:rsidRPr="002D23A3">
        <w:rPr>
          <w:lang w:val="en-US"/>
        </w:rPr>
        <w:t xml:space="preserve">David Stern, </w:t>
      </w:r>
      <w:r w:rsidRPr="002D23A3">
        <w:rPr>
          <w:i/>
          <w:lang w:val="en-US"/>
        </w:rPr>
        <w:t>Wittgenstein’s</w:t>
      </w:r>
      <w:r w:rsidRPr="002D23A3">
        <w:rPr>
          <w:lang w:val="en-US"/>
        </w:rPr>
        <w:t xml:space="preserve"> Philosophical Investigations</w:t>
      </w:r>
      <w:r w:rsidRPr="002D23A3">
        <w:rPr>
          <w:i/>
          <w:lang w:val="en-US"/>
        </w:rPr>
        <w:t>: An Introduction</w:t>
      </w:r>
      <w:r w:rsidRPr="002D23A3">
        <w:rPr>
          <w:lang w:val="en-US"/>
        </w:rPr>
        <w:t>, Cambridge University Press, 2004.</w:t>
      </w:r>
      <w:r w:rsidR="002D23A3">
        <w:rPr>
          <w:lang w:val="en-US"/>
        </w:rPr>
        <w:t xml:space="preserve"> [More demanding than McGinn’s introduction]</w:t>
      </w:r>
    </w:p>
    <w:p w:rsidR="002D23A3" w:rsidRDefault="002D23A3" w:rsidP="002D23A3">
      <w:pPr>
        <w:pStyle w:val="Odstavecseseznamem"/>
        <w:numPr>
          <w:ilvl w:val="0"/>
          <w:numId w:val="8"/>
        </w:numPr>
        <w:rPr>
          <w:lang w:val="en-US"/>
        </w:rPr>
      </w:pPr>
      <w:r>
        <w:rPr>
          <w:lang w:val="en-US"/>
        </w:rPr>
        <w:t xml:space="preserve">Stephen Mulhall, </w:t>
      </w:r>
      <w:r w:rsidRPr="002D23A3">
        <w:rPr>
          <w:i/>
          <w:lang w:val="en-US"/>
        </w:rPr>
        <w:t>Wittgenstein’s Private Language: Grammar, Nonsense, and Imagination in Philosophical Investigations §§243–315</w:t>
      </w:r>
      <w:r>
        <w:rPr>
          <w:lang w:val="en-US"/>
        </w:rPr>
        <w:t>, Oxford University Press, 2006. [An innovative, but somehow controversial reading of the private language argument]</w:t>
      </w:r>
    </w:p>
    <w:p w:rsidR="00E95B0C" w:rsidRPr="00BE17CB" w:rsidRDefault="00E95B0C" w:rsidP="001B38A6">
      <w:pPr>
        <w:pStyle w:val="Nadpis4"/>
        <w:rPr>
          <w:lang w:val="en-US"/>
        </w:rPr>
      </w:pPr>
      <w:r w:rsidRPr="00BE17CB">
        <w:rPr>
          <w:lang w:val="en-US"/>
        </w:rPr>
        <w:t xml:space="preserve">How to study Wittgenstein’s </w:t>
      </w:r>
      <w:r w:rsidR="001B38A6" w:rsidRPr="00BE17CB">
        <w:rPr>
          <w:lang w:val="en-US"/>
        </w:rPr>
        <w:t>writings</w:t>
      </w:r>
    </w:p>
    <w:p w:rsidR="00BE17CB" w:rsidRPr="00BE17CB" w:rsidRDefault="00BE17CB" w:rsidP="00BE17CB">
      <w:pPr>
        <w:pStyle w:val="Odstavecseseznamem"/>
        <w:numPr>
          <w:ilvl w:val="0"/>
          <w:numId w:val="8"/>
        </w:numPr>
        <w:rPr>
          <w:lang w:val="en-US"/>
        </w:rPr>
      </w:pPr>
      <w:r w:rsidRPr="00BE17CB">
        <w:rPr>
          <w:i/>
          <w:lang w:val="en-US"/>
        </w:rPr>
        <w:t>Bergen Electronic Edition</w:t>
      </w:r>
      <w:r w:rsidRPr="00BE17CB">
        <w:rPr>
          <w:lang w:val="en-US"/>
        </w:rPr>
        <w:t xml:space="preserve">, Oxford University Press, 2000 – facsimiles and searchable transcriptions of the whole </w:t>
      </w:r>
      <w:r w:rsidRPr="00BE17CB">
        <w:rPr>
          <w:i/>
          <w:lang w:val="en-US"/>
        </w:rPr>
        <w:t>Nachlass</w:t>
      </w:r>
      <w:r w:rsidRPr="00BE17CB">
        <w:rPr>
          <w:lang w:val="en-US"/>
        </w:rPr>
        <w:t>.</w:t>
      </w:r>
    </w:p>
    <w:p w:rsidR="001B38A6" w:rsidRPr="00BE17CB" w:rsidRDefault="00BE17CB" w:rsidP="001B38A6">
      <w:pPr>
        <w:pStyle w:val="Odstavecseseznamem"/>
        <w:numPr>
          <w:ilvl w:val="0"/>
          <w:numId w:val="8"/>
        </w:numPr>
        <w:rPr>
          <w:lang w:val="en-US"/>
        </w:rPr>
      </w:pPr>
      <w:r w:rsidRPr="00BE17CB">
        <w:rPr>
          <w:i/>
          <w:lang w:val="en-US"/>
        </w:rPr>
        <w:t>Wittgenstein Source</w:t>
      </w:r>
      <w:r w:rsidRPr="00BE17CB">
        <w:rPr>
          <w:lang w:val="en-US"/>
        </w:rPr>
        <w:t xml:space="preserve">, </w:t>
      </w:r>
      <w:r w:rsidR="001B38A6" w:rsidRPr="00BE17CB">
        <w:rPr>
          <w:lang w:val="en-US"/>
        </w:rPr>
        <w:t>http://wittgensteinsource.com</w:t>
      </w:r>
      <w:r w:rsidRPr="00BE17CB">
        <w:rPr>
          <w:lang w:val="en-US"/>
        </w:rPr>
        <w:t xml:space="preserve"> – facsimiles of Wittgenstein’s whole </w:t>
      </w:r>
      <w:r w:rsidRPr="00BE17CB">
        <w:rPr>
          <w:i/>
          <w:lang w:val="en-US"/>
        </w:rPr>
        <w:t>Nachlass</w:t>
      </w:r>
      <w:r w:rsidRPr="00BE17CB">
        <w:rPr>
          <w:lang w:val="en-US"/>
        </w:rPr>
        <w:t>, some searchable transcriptions (all transcriptions soon), additional supporting materials.</w:t>
      </w:r>
    </w:p>
    <w:p w:rsidR="00BE17CB" w:rsidRPr="00BE17CB" w:rsidRDefault="00BE17CB" w:rsidP="00BE17CB">
      <w:pPr>
        <w:pStyle w:val="Odstavecseseznamem"/>
        <w:numPr>
          <w:ilvl w:val="0"/>
          <w:numId w:val="8"/>
        </w:numPr>
        <w:rPr>
          <w:lang w:val="en-US"/>
        </w:rPr>
      </w:pPr>
      <w:r w:rsidRPr="00BE17CB">
        <w:rPr>
          <w:lang w:val="en-US"/>
        </w:rPr>
        <w:t>Suhrkamp/Blackwell edition – a selection from Wittgenstein’s manuscripts in 8 books (in German/English).</w:t>
      </w:r>
    </w:p>
    <w:p w:rsidR="00BE17CB" w:rsidRPr="009207D5" w:rsidRDefault="00BE17CB" w:rsidP="00BE17CB">
      <w:pPr>
        <w:pStyle w:val="Odstavecseseznamem"/>
        <w:numPr>
          <w:ilvl w:val="0"/>
          <w:numId w:val="8"/>
        </w:numPr>
        <w:rPr>
          <w:lang w:val="en-US"/>
        </w:rPr>
      </w:pPr>
      <w:r w:rsidRPr="009207D5">
        <w:rPr>
          <w:i/>
          <w:lang w:val="en-US"/>
        </w:rPr>
        <w:t>Wittgenstein Ontology</w:t>
      </w:r>
      <w:r w:rsidRPr="009207D5">
        <w:rPr>
          <w:lang w:val="en-US"/>
        </w:rPr>
        <w:t xml:space="preserve">, http://wab.uib.no/sfb/ – </w:t>
      </w:r>
      <w:r w:rsidR="009207D5" w:rsidRPr="009207D5">
        <w:rPr>
          <w:lang w:val="en-US"/>
        </w:rPr>
        <w:t>conn</w:t>
      </w:r>
      <w:r w:rsidR="009207D5">
        <w:rPr>
          <w:lang w:val="en-US"/>
        </w:rPr>
        <w:t>e</w:t>
      </w:r>
      <w:r w:rsidR="009207D5" w:rsidRPr="009207D5">
        <w:rPr>
          <w:lang w:val="en-US"/>
        </w:rPr>
        <w:t>cts</w:t>
      </w:r>
      <w:r w:rsidRPr="009207D5">
        <w:rPr>
          <w:lang w:val="en-US"/>
        </w:rPr>
        <w:t xml:space="preserve"> </w:t>
      </w:r>
      <w:r w:rsidR="009207D5" w:rsidRPr="009207D5">
        <w:rPr>
          <w:lang w:val="en-US"/>
        </w:rPr>
        <w:t xml:space="preserve">Blackwell edition with </w:t>
      </w:r>
      <w:r w:rsidR="009207D5" w:rsidRPr="009207D5">
        <w:rPr>
          <w:i/>
          <w:lang w:val="en-US"/>
        </w:rPr>
        <w:t>Wittgenstein Source</w:t>
      </w:r>
      <w:r w:rsidR="009207D5" w:rsidRPr="009207D5">
        <w:rPr>
          <w:lang w:val="en-US"/>
        </w:rPr>
        <w:t>.</w:t>
      </w:r>
    </w:p>
    <w:p w:rsidR="00BE17CB" w:rsidRPr="00BE17CB" w:rsidRDefault="00BE17CB" w:rsidP="001B38A6">
      <w:pPr>
        <w:pStyle w:val="Odstavecseseznamem"/>
        <w:numPr>
          <w:ilvl w:val="0"/>
          <w:numId w:val="8"/>
        </w:numPr>
        <w:rPr>
          <w:lang w:val="en-US"/>
        </w:rPr>
      </w:pPr>
      <w:r w:rsidRPr="00BE17CB">
        <w:rPr>
          <w:lang w:val="en-US"/>
        </w:rPr>
        <w:t>Several editions of Wittgenstein’s letters, lectures, recoll</w:t>
      </w:r>
      <w:bookmarkStart w:id="0" w:name="_GoBack"/>
      <w:bookmarkEnd w:id="0"/>
      <w:r w:rsidRPr="00BE17CB">
        <w:rPr>
          <w:lang w:val="en-US"/>
        </w:rPr>
        <w:t>ections.</w:t>
      </w:r>
    </w:p>
    <w:sectPr w:rsidR="00BE17CB" w:rsidRPr="00BE17CB" w:rsidSect="00652C5C">
      <w:footerReference w:type="default" r:id="rId9"/>
      <w:headerReference w:type="first" r:id="rId10"/>
      <w:footerReference w:type="first" r:id="rId11"/>
      <w:pgSz w:w="11906" w:h="16838" w:code="9"/>
      <w:pgMar w:top="1701" w:right="1701" w:bottom="2268" w:left="1701" w:header="1765" w:footer="87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AEC" w:rsidRDefault="00D20AEC">
      <w:pPr>
        <w:spacing w:after="0" w:line="240" w:lineRule="auto"/>
      </w:pPr>
      <w:r>
        <w:separator/>
      </w:r>
    </w:p>
  </w:endnote>
  <w:endnote w:type="continuationSeparator" w:id="0">
    <w:p w:rsidR="00D20AEC" w:rsidRDefault="00D2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B1" w:rsidRDefault="007C78B1" w:rsidP="007C78B1">
    <w:pPr>
      <w:pStyle w:val="Zpat-univerzita"/>
    </w:pPr>
    <w:r>
      <w:tab/>
    </w:r>
    <w:r>
      <w:fldChar w:fldCharType="begin"/>
    </w:r>
    <w:r>
      <w:instrText>PAGE   \* MERGEFORMAT</w:instrText>
    </w:r>
    <w:r>
      <w:fldChar w:fldCharType="separate"/>
    </w:r>
    <w:r w:rsidR="009207D5" w:rsidRPr="009207D5">
      <w:rPr>
        <w:noProof/>
        <w:lang w:val="cs-CZ"/>
      </w:rPr>
      <w:t>6</w:t>
    </w:r>
    <w:r>
      <w:fldChar w:fldCharType="end"/>
    </w:r>
    <w:r>
      <w:t>/</w:t>
    </w:r>
    <w:fldSimple w:instr=" NUMPAGES   \* MERGEFORMAT ">
      <w:r w:rsidR="009207D5">
        <w:rPr>
          <w:noProof/>
        </w:rPr>
        <w:t>6</w:t>
      </w:r>
    </w:fldSimple>
  </w:p>
  <w:p w:rsidR="00652C5C" w:rsidRPr="00B52C2F" w:rsidRDefault="00652C5C" w:rsidP="00B52C2F">
    <w:pPr>
      <w:pStyle w:val="Zpat-univerzita"/>
      <w:rPr>
        <w:b w:val="0"/>
        <w:lang w:val="es-ES"/>
      </w:rPr>
    </w:pPr>
    <w:r>
      <w:t xml:space="preserve">Jakub Mácha, </w:t>
    </w:r>
    <w:r w:rsidRPr="00B52C2F">
      <w:rPr>
        <w:b w:val="0"/>
      </w:rPr>
      <w:t xml:space="preserve">Masaryk University, </w:t>
    </w:r>
    <w:r w:rsidRPr="00B52C2F">
      <w:rPr>
        <w:rFonts w:cs="Arial"/>
        <w:b w:val="0"/>
        <w:szCs w:val="16"/>
      </w:rPr>
      <w:t xml:space="preserve">Faculty of Arts, </w:t>
    </w:r>
    <w:r w:rsidRPr="00B52C2F">
      <w:rPr>
        <w:rFonts w:cs="Arial"/>
        <w:b w:val="0"/>
        <w:szCs w:val="14"/>
      </w:rPr>
      <w:t xml:space="preserve">Arna Nováka </w:t>
    </w:r>
    <w:r>
      <w:rPr>
        <w:rFonts w:cs="Arial"/>
        <w:b w:val="0"/>
        <w:szCs w:val="14"/>
      </w:rPr>
      <w:t>1</w:t>
    </w:r>
    <w:r w:rsidRPr="00B52C2F">
      <w:rPr>
        <w:rFonts w:cs="Arial"/>
        <w:b w:val="0"/>
        <w:szCs w:val="14"/>
      </w:rPr>
      <w:t xml:space="preserve">, 602 00 Brno, Czech Republic, </w:t>
    </w:r>
    <w:r w:rsidRPr="00B52C2F">
      <w:rPr>
        <w:rFonts w:cs="Arial"/>
        <w:b w:val="0"/>
        <w:szCs w:val="14"/>
        <w:lang w:val="es-ES"/>
      </w:rPr>
      <w:t>macha@phil.muni.cz</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B1" w:rsidRDefault="007C78B1" w:rsidP="00B52C2F">
    <w:pPr>
      <w:pStyle w:val="Zpat-univerzita"/>
    </w:pPr>
    <w:r>
      <w:tab/>
    </w:r>
    <w:r w:rsidR="000B16AF">
      <w:fldChar w:fldCharType="begin"/>
    </w:r>
    <w:r w:rsidR="000B16AF">
      <w:instrText>PAGE   \* MERGEFORMAT</w:instrText>
    </w:r>
    <w:r w:rsidR="000B16AF">
      <w:fldChar w:fldCharType="separate"/>
    </w:r>
    <w:r w:rsidR="009207D5" w:rsidRPr="009207D5">
      <w:rPr>
        <w:noProof/>
        <w:lang w:val="cs-CZ"/>
      </w:rPr>
      <w:t>1</w:t>
    </w:r>
    <w:r w:rsidR="000B16AF">
      <w:fldChar w:fldCharType="end"/>
    </w:r>
    <w:r w:rsidR="000B16AF">
      <w:t>/</w:t>
    </w:r>
    <w:r w:rsidR="00D20AEC">
      <w:fldChar w:fldCharType="begin"/>
    </w:r>
    <w:r w:rsidR="00D20AEC">
      <w:instrText xml:space="preserve"> NUMPAGES   \* MERGEFORMAT </w:instrText>
    </w:r>
    <w:r w:rsidR="00D20AEC">
      <w:fldChar w:fldCharType="separate"/>
    </w:r>
    <w:r w:rsidR="009207D5">
      <w:rPr>
        <w:noProof/>
      </w:rPr>
      <w:t>6</w:t>
    </w:r>
    <w:r w:rsidR="00D20AEC">
      <w:rPr>
        <w:noProof/>
      </w:rPr>
      <w:fldChar w:fldCharType="end"/>
    </w:r>
  </w:p>
  <w:p w:rsidR="00652C5C" w:rsidRPr="00B52C2F" w:rsidRDefault="00652C5C" w:rsidP="00B52C2F">
    <w:pPr>
      <w:pStyle w:val="Zpat-univerzita"/>
      <w:rPr>
        <w:b w:val="0"/>
        <w:lang w:val="es-ES"/>
      </w:rPr>
    </w:pPr>
    <w:r>
      <w:t xml:space="preserve">Jakub Mácha, </w:t>
    </w:r>
    <w:r w:rsidRPr="00B52C2F">
      <w:rPr>
        <w:b w:val="0"/>
      </w:rPr>
      <w:t xml:space="preserve">Masaryk University, </w:t>
    </w:r>
    <w:r w:rsidRPr="00B52C2F">
      <w:rPr>
        <w:rFonts w:cs="Arial"/>
        <w:b w:val="0"/>
        <w:szCs w:val="16"/>
      </w:rPr>
      <w:t xml:space="preserve">Faculty of Arts, </w:t>
    </w:r>
    <w:r w:rsidRPr="00B52C2F">
      <w:rPr>
        <w:rFonts w:cs="Arial"/>
        <w:b w:val="0"/>
        <w:szCs w:val="14"/>
      </w:rPr>
      <w:t xml:space="preserve">Arna Nováka </w:t>
    </w:r>
    <w:r>
      <w:rPr>
        <w:rFonts w:cs="Arial"/>
        <w:b w:val="0"/>
        <w:szCs w:val="14"/>
      </w:rPr>
      <w:t>1</w:t>
    </w:r>
    <w:r w:rsidRPr="00B52C2F">
      <w:rPr>
        <w:rFonts w:cs="Arial"/>
        <w:b w:val="0"/>
        <w:szCs w:val="14"/>
      </w:rPr>
      <w:t xml:space="preserve">, 602 00 Brno, Czech Republic, </w:t>
    </w:r>
    <w:r w:rsidRPr="00B52C2F">
      <w:rPr>
        <w:rFonts w:cs="Arial"/>
        <w:b w:val="0"/>
        <w:szCs w:val="14"/>
        <w:lang w:val="es-ES"/>
      </w:rPr>
      <w:t>macha@phil.muni.cz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AEC" w:rsidRDefault="00D20AEC">
      <w:pPr>
        <w:spacing w:after="0" w:line="240" w:lineRule="auto"/>
      </w:pPr>
      <w:r>
        <w:separator/>
      </w:r>
    </w:p>
  </w:footnote>
  <w:footnote w:type="continuationSeparator" w:id="0">
    <w:p w:rsidR="00D20AEC" w:rsidRDefault="00D20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5C" w:rsidRDefault="00652C5C">
    <w:pPr>
      <w:pStyle w:val="Zhlav"/>
    </w:pPr>
    <w:r>
      <w:rPr>
        <w:noProof/>
        <w:lang w:val="cs-CZ" w:eastAsia="cs-CZ"/>
      </w:rPr>
      <w:drawing>
        <wp:anchor distT="0" distB="1260475" distL="114300" distR="114300" simplePos="0" relativeHeight="251648000" behindDoc="0" locked="1" layoutInCell="1" allowOverlap="1" wp14:anchorId="5C74C051" wp14:editId="0602CC67">
          <wp:simplePos x="0" y="0"/>
          <wp:positionH relativeFrom="page">
            <wp:posOffset>320722</wp:posOffset>
          </wp:positionH>
          <wp:positionV relativeFrom="page">
            <wp:posOffset>0</wp:posOffset>
          </wp:positionV>
          <wp:extent cx="2866390" cy="1115695"/>
          <wp:effectExtent l="0" t="0" r="0" b="825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rotWithShape="1">
                  <a:blip r:embed="rId1">
                    <a:extLst>
                      <a:ext uri="{28A0092B-C50C-407E-A947-70E740481C1C}">
                        <a14:useLocalDpi xmlns:a14="http://schemas.microsoft.com/office/drawing/2010/main" val="0"/>
                      </a:ext>
                    </a:extLst>
                  </a:blip>
                  <a:srcRect l="-1173" t="323" r="761" b="2828"/>
                  <a:stretch/>
                </pic:blipFill>
                <pic:spPr bwMode="auto">
                  <a:xfrm>
                    <a:off x="0" y="0"/>
                    <a:ext cx="2866390" cy="1115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2F1"/>
    <w:multiLevelType w:val="hybridMultilevel"/>
    <w:tmpl w:val="920655D0"/>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12D777F"/>
    <w:multiLevelType w:val="hybridMultilevel"/>
    <w:tmpl w:val="123E49C0"/>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2A8D3141"/>
    <w:multiLevelType w:val="hybridMultilevel"/>
    <w:tmpl w:val="5C8E171A"/>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4299267C"/>
    <w:multiLevelType w:val="hybridMultilevel"/>
    <w:tmpl w:val="3B72E140"/>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2C2C1A"/>
    <w:multiLevelType w:val="hybridMultilevel"/>
    <w:tmpl w:val="B238A5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71466B8C"/>
    <w:multiLevelType w:val="hybridMultilevel"/>
    <w:tmpl w:val="10D6499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7D3A6F3C"/>
    <w:multiLevelType w:val="hybridMultilevel"/>
    <w:tmpl w:val="4CA6105A"/>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81"/>
    <w:rsid w:val="000143FD"/>
    <w:rsid w:val="000316C7"/>
    <w:rsid w:val="00042835"/>
    <w:rsid w:val="00063DE7"/>
    <w:rsid w:val="000A5AD7"/>
    <w:rsid w:val="000B16AF"/>
    <w:rsid w:val="000B4507"/>
    <w:rsid w:val="000D0DAC"/>
    <w:rsid w:val="00111ECF"/>
    <w:rsid w:val="00112E75"/>
    <w:rsid w:val="00113AA8"/>
    <w:rsid w:val="00151C68"/>
    <w:rsid w:val="00195E26"/>
    <w:rsid w:val="001A7E64"/>
    <w:rsid w:val="001B38A6"/>
    <w:rsid w:val="001C00ED"/>
    <w:rsid w:val="001C1937"/>
    <w:rsid w:val="001D297F"/>
    <w:rsid w:val="001D3075"/>
    <w:rsid w:val="001F6685"/>
    <w:rsid w:val="00211F80"/>
    <w:rsid w:val="00227BC5"/>
    <w:rsid w:val="00247E5F"/>
    <w:rsid w:val="00266810"/>
    <w:rsid w:val="00282F76"/>
    <w:rsid w:val="0029113D"/>
    <w:rsid w:val="002B6D09"/>
    <w:rsid w:val="002C33A9"/>
    <w:rsid w:val="002D23A3"/>
    <w:rsid w:val="00304F72"/>
    <w:rsid w:val="00310D63"/>
    <w:rsid w:val="00313679"/>
    <w:rsid w:val="0031460E"/>
    <w:rsid w:val="0031637F"/>
    <w:rsid w:val="00316FF9"/>
    <w:rsid w:val="00332338"/>
    <w:rsid w:val="00335F0A"/>
    <w:rsid w:val="00362AD8"/>
    <w:rsid w:val="0036682E"/>
    <w:rsid w:val="00366C58"/>
    <w:rsid w:val="0036758D"/>
    <w:rsid w:val="003C2B73"/>
    <w:rsid w:val="003E5FCF"/>
    <w:rsid w:val="003F3F89"/>
    <w:rsid w:val="004067DE"/>
    <w:rsid w:val="0046275A"/>
    <w:rsid w:val="004758A5"/>
    <w:rsid w:val="00475946"/>
    <w:rsid w:val="004A1A8C"/>
    <w:rsid w:val="004A7CE5"/>
    <w:rsid w:val="004B00C2"/>
    <w:rsid w:val="004C1307"/>
    <w:rsid w:val="004F3CBA"/>
    <w:rsid w:val="00535581"/>
    <w:rsid w:val="0053794A"/>
    <w:rsid w:val="005569E3"/>
    <w:rsid w:val="00582DFC"/>
    <w:rsid w:val="005C1BC3"/>
    <w:rsid w:val="00611EAC"/>
    <w:rsid w:val="00616507"/>
    <w:rsid w:val="00652C5C"/>
    <w:rsid w:val="00653F54"/>
    <w:rsid w:val="0067390A"/>
    <w:rsid w:val="006A289C"/>
    <w:rsid w:val="006B7A61"/>
    <w:rsid w:val="006C06C0"/>
    <w:rsid w:val="006C4E21"/>
    <w:rsid w:val="006D6197"/>
    <w:rsid w:val="006E4B89"/>
    <w:rsid w:val="00700BDD"/>
    <w:rsid w:val="00721AA4"/>
    <w:rsid w:val="007272B2"/>
    <w:rsid w:val="0073428B"/>
    <w:rsid w:val="007377EF"/>
    <w:rsid w:val="007442DB"/>
    <w:rsid w:val="007461C7"/>
    <w:rsid w:val="007555FB"/>
    <w:rsid w:val="00756259"/>
    <w:rsid w:val="00762989"/>
    <w:rsid w:val="007728E3"/>
    <w:rsid w:val="00784C85"/>
    <w:rsid w:val="0078659E"/>
    <w:rsid w:val="00790002"/>
    <w:rsid w:val="0079758E"/>
    <w:rsid w:val="007C738C"/>
    <w:rsid w:val="007C73BD"/>
    <w:rsid w:val="007C78B1"/>
    <w:rsid w:val="007D3963"/>
    <w:rsid w:val="007D43D4"/>
    <w:rsid w:val="007D77E7"/>
    <w:rsid w:val="007E3532"/>
    <w:rsid w:val="00824279"/>
    <w:rsid w:val="00824EF7"/>
    <w:rsid w:val="008279EE"/>
    <w:rsid w:val="008300B3"/>
    <w:rsid w:val="008626A9"/>
    <w:rsid w:val="00867931"/>
    <w:rsid w:val="008758CC"/>
    <w:rsid w:val="008958B0"/>
    <w:rsid w:val="008C4BEF"/>
    <w:rsid w:val="008C6173"/>
    <w:rsid w:val="008E14E6"/>
    <w:rsid w:val="00900A5E"/>
    <w:rsid w:val="00920645"/>
    <w:rsid w:val="009207D5"/>
    <w:rsid w:val="00927930"/>
    <w:rsid w:val="00950244"/>
    <w:rsid w:val="00970F8A"/>
    <w:rsid w:val="00985A25"/>
    <w:rsid w:val="009929DF"/>
    <w:rsid w:val="00993F65"/>
    <w:rsid w:val="009966B4"/>
    <w:rsid w:val="009A7BD3"/>
    <w:rsid w:val="009D1C67"/>
    <w:rsid w:val="00A071DE"/>
    <w:rsid w:val="00A07B92"/>
    <w:rsid w:val="00A63644"/>
    <w:rsid w:val="00A64BC6"/>
    <w:rsid w:val="00A95B91"/>
    <w:rsid w:val="00AC2D36"/>
    <w:rsid w:val="00AD0B5F"/>
    <w:rsid w:val="00AD3856"/>
    <w:rsid w:val="00AD47C9"/>
    <w:rsid w:val="00B43F1E"/>
    <w:rsid w:val="00B5176D"/>
    <w:rsid w:val="00B52C2F"/>
    <w:rsid w:val="00B65253"/>
    <w:rsid w:val="00BA5AA4"/>
    <w:rsid w:val="00BE17CB"/>
    <w:rsid w:val="00BF0856"/>
    <w:rsid w:val="00C20847"/>
    <w:rsid w:val="00C24235"/>
    <w:rsid w:val="00C30242"/>
    <w:rsid w:val="00C4464D"/>
    <w:rsid w:val="00C64289"/>
    <w:rsid w:val="00C90420"/>
    <w:rsid w:val="00CC2597"/>
    <w:rsid w:val="00CE5D2D"/>
    <w:rsid w:val="00D11172"/>
    <w:rsid w:val="00D20AEC"/>
    <w:rsid w:val="00D45579"/>
    <w:rsid w:val="00D47639"/>
    <w:rsid w:val="00D51E8B"/>
    <w:rsid w:val="00D5628F"/>
    <w:rsid w:val="00D65140"/>
    <w:rsid w:val="00D9706E"/>
    <w:rsid w:val="00DA727C"/>
    <w:rsid w:val="00DD0F04"/>
    <w:rsid w:val="00DD4F78"/>
    <w:rsid w:val="00DD69A3"/>
    <w:rsid w:val="00E04473"/>
    <w:rsid w:val="00E05F2B"/>
    <w:rsid w:val="00E071F3"/>
    <w:rsid w:val="00E31CA2"/>
    <w:rsid w:val="00E86060"/>
    <w:rsid w:val="00E95B0C"/>
    <w:rsid w:val="00EA3EF1"/>
    <w:rsid w:val="00EC4F9A"/>
    <w:rsid w:val="00EC70A0"/>
    <w:rsid w:val="00EE0F4B"/>
    <w:rsid w:val="00EF1356"/>
    <w:rsid w:val="00EF71A2"/>
    <w:rsid w:val="00F02027"/>
    <w:rsid w:val="00F06ED2"/>
    <w:rsid w:val="00F32999"/>
    <w:rsid w:val="00F50670"/>
    <w:rsid w:val="00F67D27"/>
    <w:rsid w:val="00F86E6C"/>
    <w:rsid w:val="00F870DB"/>
    <w:rsid w:val="00F92F29"/>
    <w:rsid w:val="00FB0130"/>
    <w:rsid w:val="00FB245E"/>
    <w:rsid w:val="00FC0F3D"/>
    <w:rsid w:val="00FC458C"/>
    <w:rsid w:val="00FC52CA"/>
    <w:rsid w:val="00FE26FE"/>
    <w:rsid w:val="00FF0D0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EC321"/>
  <w15:docId w15:val="{234BB19A-B2AF-4DAE-9CB4-E0E20E83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6C58"/>
    <w:pPr>
      <w:spacing w:after="454"/>
    </w:pPr>
    <w:rPr>
      <w:rFonts w:ascii="Times New Roman" w:hAnsi="Times New Roman"/>
      <w:lang w:val="en-GB"/>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4">
    <w:name w:val="heading 4"/>
    <w:basedOn w:val="Normln"/>
    <w:next w:val="Normln"/>
    <w:link w:val="Nadpis4Char"/>
    <w:uiPriority w:val="9"/>
    <w:unhideWhenUsed/>
    <w:qFormat/>
    <w:rsid w:val="008E14E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0B450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950244"/>
    <w:rPr>
      <w:rFonts w:ascii="Arial" w:hAnsi="Arial"/>
      <w:color w:val="094F8F"/>
      <w:sz w:val="14"/>
      <w:lang w:val="en-GB"/>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950244"/>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qFormat/>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366C58"/>
    <w:pPr>
      <w:tabs>
        <w:tab w:val="left" w:pos="1985"/>
        <w:tab w:val="left" w:pos="4706"/>
        <w:tab w:val="left" w:pos="6804"/>
      </w:tabs>
    </w:pPr>
    <w:rPr>
      <w:rFonts w:ascii="Arial" w:hAnsi="Arial"/>
      <w:color w:val="000000" w:themeColor="text1"/>
      <w:sz w:val="14"/>
      <w:lang w:val="en-GB"/>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366C58"/>
    <w:pPr>
      <w:spacing w:before="737" w:after="737"/>
    </w:pPr>
    <w:rPr>
      <w:rFonts w:ascii="Times New Roman" w:hAnsi="Times New Roman"/>
      <w:b/>
      <w:sz w:val="24"/>
      <w:lang w:val="en-GB"/>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366C58"/>
    <w:rPr>
      <w:rFonts w:ascii="Times New Roman" w:hAnsi="Times New Roman"/>
      <w:b/>
      <w:lang w:val="en-GB"/>
    </w:rPr>
  </w:style>
  <w:style w:type="paragraph" w:customStyle="1" w:styleId="Funkce">
    <w:name w:val="Funkce"/>
    <w:basedOn w:val="JmnoPjmen"/>
    <w:qFormat/>
    <w:rsid w:val="00366C58"/>
    <w:rPr>
      <w:b w:val="0"/>
    </w:rPr>
  </w:style>
  <w:style w:type="paragraph" w:customStyle="1" w:styleId="Zpat-univerzita">
    <w:name w:val="Zápatí - univerzita"/>
    <w:aliases w:val="fakulta"/>
    <w:basedOn w:val="Zpat"/>
    <w:qFormat/>
    <w:rsid w:val="00950244"/>
    <w:rPr>
      <w:b/>
      <w:sz w:val="16"/>
    </w:rPr>
  </w:style>
  <w:style w:type="paragraph" w:customStyle="1" w:styleId="Zpatsslovnmstrnky">
    <w:name w:val="Zápatí s číslováním stránky"/>
    <w:basedOn w:val="Zpat"/>
    <w:qFormat/>
    <w:rsid w:val="00C30242"/>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C30242"/>
    <w:rPr>
      <w:rFonts w:cs="Arial"/>
      <w:szCs w:val="16"/>
      <w:lang w:val="cs-CZ"/>
    </w:rPr>
  </w:style>
  <w:style w:type="character" w:customStyle="1" w:styleId="Nadpis4Char">
    <w:name w:val="Nadpis 4 Char"/>
    <w:basedOn w:val="Standardnpsmoodstavce"/>
    <w:link w:val="Nadpis4"/>
    <w:uiPriority w:val="9"/>
    <w:rsid w:val="008E14E6"/>
    <w:rPr>
      <w:rFonts w:asciiTheme="majorHAnsi" w:eastAsiaTheme="majorEastAsia" w:hAnsiTheme="majorHAnsi" w:cstheme="majorBidi"/>
      <w:i/>
      <w:iCs/>
      <w:color w:val="365F91" w:themeColor="accent1" w:themeShade="BF"/>
      <w:lang w:val="en-GB"/>
    </w:rPr>
  </w:style>
  <w:style w:type="character" w:customStyle="1" w:styleId="Nadpis5Char">
    <w:name w:val="Nadpis 5 Char"/>
    <w:basedOn w:val="Standardnpsmoodstavce"/>
    <w:link w:val="Nadpis5"/>
    <w:uiPriority w:val="9"/>
    <w:rsid w:val="000B4507"/>
    <w:rPr>
      <w:rFonts w:asciiTheme="majorHAnsi" w:eastAsiaTheme="majorEastAsia" w:hAnsiTheme="majorHAnsi" w:cstheme="majorBidi"/>
      <w:color w:val="365F91" w:themeColor="accent1" w:themeShade="BF"/>
      <w:lang w:val="en-GB"/>
    </w:rPr>
  </w:style>
  <w:style w:type="paragraph" w:styleId="Odstavecseseznamem">
    <w:name w:val="List Paragraph"/>
    <w:basedOn w:val="Normln"/>
    <w:uiPriority w:val="34"/>
    <w:qFormat/>
    <w:rsid w:val="00B65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069677">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ropbox\vzorov&#233;%20dokumenty\phil_hlavickovy_papir_en_jmenovity.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494A3-47A0-4B87-AAD5-B4658434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phil_hlavickovy_papir_en_jmenovity</Template>
  <TotalTime>2040</TotalTime>
  <Pages>6</Pages>
  <Words>2017</Words>
  <Characters>11903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dc:creator>
  <cp:lastModifiedBy>user</cp:lastModifiedBy>
  <cp:revision>27</cp:revision>
  <cp:lastPrinted>2016-11-02T14:37:00Z</cp:lastPrinted>
  <dcterms:created xsi:type="dcterms:W3CDTF">2016-04-04T02:56:00Z</dcterms:created>
  <dcterms:modified xsi:type="dcterms:W3CDTF">2017-04-10T10:29:00Z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