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175E2" w14:textId="0026CA1B" w:rsidR="007F734A" w:rsidRDefault="003C15D1" w:rsidP="007900F0">
      <w:pPr>
        <w:spacing w:line="360" w:lineRule="auto"/>
        <w:jc w:val="both"/>
      </w:pPr>
      <w:r>
        <w:rPr>
          <w:rFonts w:ascii="Times" w:hAnsi="Times" w:cs="Times"/>
          <w:b/>
        </w:rPr>
        <w:t>Tarea 6</w:t>
      </w:r>
      <w:r w:rsidR="00E23788">
        <w:rPr>
          <w:rFonts w:ascii="Times" w:hAnsi="Times" w:cs="Times"/>
          <w:b/>
        </w:rPr>
        <w:t xml:space="preserve">. Tema </w:t>
      </w:r>
      <w:r>
        <w:rPr>
          <w:rFonts w:ascii="Times" w:hAnsi="Times" w:cs="Times"/>
          <w:b/>
        </w:rPr>
        <w:t>8</w:t>
      </w:r>
      <w:r w:rsidR="00E23788">
        <w:rPr>
          <w:rFonts w:ascii="Times" w:hAnsi="Times" w:cs="Times"/>
          <w:b/>
        </w:rPr>
        <w:t xml:space="preserve"> </w:t>
      </w:r>
      <w:r w:rsidR="00E23788">
        <w:rPr>
          <w:rFonts w:ascii="Times" w:hAnsi="Times" w:cs="Times"/>
        </w:rPr>
        <w:t xml:space="preserve">(Quesada </w:t>
      </w:r>
      <w:r>
        <w:rPr>
          <w:rFonts w:ascii="Times" w:hAnsi="Times" w:cs="Times"/>
        </w:rPr>
        <w:t>90</w:t>
      </w:r>
      <w:r w:rsidR="00E23788">
        <w:rPr>
          <w:rFonts w:ascii="Times" w:hAnsi="Times" w:cs="Times"/>
        </w:rPr>
        <w:t xml:space="preserve"> – </w:t>
      </w:r>
      <w:r>
        <w:rPr>
          <w:rFonts w:ascii="Times" w:hAnsi="Times" w:cs="Times"/>
        </w:rPr>
        <w:t>10</w:t>
      </w:r>
      <w:r w:rsidR="00E23788">
        <w:rPr>
          <w:rFonts w:ascii="Times" w:hAnsi="Times" w:cs="Times"/>
        </w:rPr>
        <w:t>7)</w:t>
      </w:r>
    </w:p>
    <w:p w14:paraId="3DD4489A" w14:textId="77777777" w:rsidR="007F734A" w:rsidRDefault="007F734A" w:rsidP="007900F0">
      <w:pPr>
        <w:spacing w:line="360" w:lineRule="auto"/>
        <w:jc w:val="both"/>
      </w:pPr>
    </w:p>
    <w:p w14:paraId="13F20C32" w14:textId="6B24185E" w:rsidR="007F734A" w:rsidRDefault="00E23788" w:rsidP="007900F0">
      <w:pPr>
        <w:spacing w:line="360" w:lineRule="auto"/>
        <w:jc w:val="both"/>
        <w:rPr>
          <w:rFonts w:ascii="Times" w:hAnsi="Times" w:cs="Times"/>
          <w:u w:val="single"/>
        </w:rPr>
      </w:pPr>
      <w:r>
        <w:rPr>
          <w:rFonts w:ascii="Times" w:hAnsi="Times" w:cs="Times"/>
          <w:u w:val="single"/>
        </w:rPr>
        <w:t>Instrucciones:</w:t>
      </w:r>
    </w:p>
    <w:p w14:paraId="62C7AE95" w14:textId="77777777" w:rsidR="003C15D1" w:rsidRDefault="003C15D1" w:rsidP="007900F0">
      <w:pPr>
        <w:spacing w:line="360" w:lineRule="auto"/>
        <w:jc w:val="both"/>
      </w:pPr>
    </w:p>
    <w:p w14:paraId="47CAA23F" w14:textId="57F1180D" w:rsidR="007F734A" w:rsidRDefault="00E23788" w:rsidP="007900F0">
      <w:pPr>
        <w:spacing w:line="360" w:lineRule="auto"/>
        <w:ind w:left="720"/>
        <w:jc w:val="both"/>
      </w:pPr>
      <w:r>
        <w:rPr>
          <w:rFonts w:ascii="Times" w:hAnsi="Times" w:cs="Times"/>
        </w:rPr>
        <w:t>•</w:t>
      </w:r>
      <w:r>
        <w:rPr>
          <w:rFonts w:ascii="Times" w:hAnsi="Times" w:cs="Times"/>
        </w:rPr>
        <w:tab/>
        <w:t xml:space="preserve">La tarea hay que entregarla antes del comienzo de la clase del </w:t>
      </w:r>
      <w:r w:rsidR="003C15D1">
        <w:rPr>
          <w:rFonts w:ascii="Times" w:hAnsi="Times" w:cs="Times"/>
        </w:rPr>
        <w:t>lunes 19</w:t>
      </w:r>
      <w:r>
        <w:rPr>
          <w:rFonts w:ascii="Times" w:hAnsi="Times" w:cs="Times"/>
        </w:rPr>
        <w:t xml:space="preserve"> de noviembre colocándola en el buzón de entrega correspondiente en los materiales de estudio del IS.</w:t>
      </w:r>
    </w:p>
    <w:p w14:paraId="43BF1AAF" w14:textId="57347F77" w:rsidR="007F734A" w:rsidRDefault="00E23788" w:rsidP="007900F0">
      <w:pPr>
        <w:spacing w:line="360" w:lineRule="auto"/>
        <w:ind w:left="720"/>
        <w:jc w:val="both"/>
      </w:pPr>
      <w:r>
        <w:rPr>
          <w:rFonts w:ascii="Times" w:hAnsi="Times" w:cs="Times"/>
        </w:rPr>
        <w:t>•</w:t>
      </w:r>
      <w:r>
        <w:rPr>
          <w:rFonts w:ascii="Times" w:hAnsi="Times" w:cs="Times"/>
        </w:rPr>
        <w:tab/>
        <w:t>Por favor, responde a cada pregunta con uno o dos párrafos utilizando la información de la lectura obligatoria y tus propias reflexiones.</w:t>
      </w:r>
    </w:p>
    <w:p w14:paraId="156F9693" w14:textId="140AE2C8" w:rsidR="007F734A" w:rsidRDefault="00E23788" w:rsidP="007900F0">
      <w:pPr>
        <w:spacing w:line="360" w:lineRule="auto"/>
        <w:ind w:left="720"/>
        <w:jc w:val="both"/>
      </w:pPr>
      <w:r>
        <w:rPr>
          <w:rFonts w:ascii="Times" w:hAnsi="Times" w:cs="Times"/>
        </w:rPr>
        <w:t>•</w:t>
      </w:r>
      <w:r>
        <w:rPr>
          <w:rFonts w:ascii="Times" w:hAnsi="Times" w:cs="Times"/>
        </w:rPr>
        <w:tab/>
        <w:t xml:space="preserve">El objetivo de la tarea es hacerte pensar analítica y sintéticamente acerca de la lectura de esta semana y prepararte para las actividades y debates en clase.                                                                                  </w:t>
      </w:r>
    </w:p>
    <w:p w14:paraId="74F04790" w14:textId="00AAD160" w:rsidR="007F734A" w:rsidRDefault="00E23788" w:rsidP="007900F0">
      <w:pPr>
        <w:spacing w:line="360" w:lineRule="auto"/>
        <w:ind w:left="720"/>
        <w:jc w:val="both"/>
      </w:pPr>
      <w:r>
        <w:rPr>
          <w:rFonts w:ascii="Times" w:hAnsi="Times" w:cs="Times"/>
        </w:rPr>
        <w:t>•</w:t>
      </w:r>
      <w:r>
        <w:rPr>
          <w:rFonts w:ascii="Times" w:hAnsi="Times" w:cs="Times"/>
        </w:rPr>
        <w:tab/>
        <w:t>Al principio de la clase siguiente comentaré algunas de las tareas corregidas y justificaré la calificación que haya otorgado.</w:t>
      </w:r>
    </w:p>
    <w:p w14:paraId="40F64810" w14:textId="77777777" w:rsidR="007F734A" w:rsidRDefault="007F734A" w:rsidP="007900F0">
      <w:pPr>
        <w:spacing w:line="360" w:lineRule="auto"/>
        <w:jc w:val="both"/>
      </w:pPr>
    </w:p>
    <w:p w14:paraId="4AAA8A01" w14:textId="19DCB451" w:rsidR="007F734A" w:rsidRDefault="00E23788" w:rsidP="007900F0">
      <w:pPr>
        <w:spacing w:line="360" w:lineRule="auto"/>
        <w:rPr>
          <w:rFonts w:ascii="Times" w:hAnsi="Times" w:cs="Times"/>
        </w:rPr>
      </w:pPr>
      <w:r>
        <w:rPr>
          <w:rFonts w:ascii="Times" w:hAnsi="Times" w:cs="Times"/>
        </w:rPr>
        <w:t>1.- ¿</w:t>
      </w:r>
      <w:r w:rsidR="007900F0">
        <w:rPr>
          <w:rFonts w:ascii="Times" w:hAnsi="Times" w:cs="Times"/>
        </w:rPr>
        <w:t>Qué era el panamericanismo? ¿</w:t>
      </w:r>
      <w:proofErr w:type="spellStart"/>
      <w:r w:rsidR="007900F0">
        <w:rPr>
          <w:rFonts w:ascii="Times" w:hAnsi="Times" w:cs="Times"/>
        </w:rPr>
        <w:t>Qu</w:t>
      </w:r>
      <w:proofErr w:type="spellEnd"/>
      <w:r w:rsidR="007900F0">
        <w:rPr>
          <w:rFonts w:ascii="Times" w:hAnsi="Times" w:cs="Times"/>
          <w:lang w:val="es-ES"/>
        </w:rPr>
        <w:t>é</w:t>
      </w:r>
      <w:bookmarkStart w:id="0" w:name="_GoBack"/>
      <w:bookmarkEnd w:id="0"/>
      <w:r>
        <w:rPr>
          <w:rFonts w:ascii="Times" w:hAnsi="Times" w:cs="Times"/>
        </w:rPr>
        <w:t xml:space="preserve"> características comunes tenía con otros movimientos ideológicos similares como el pangermanismo o el paneslavismo? ¿Cómo afectó la Guerra de Cuba (entre España y EE.UU., 1898) a la aceptación de esta ideología en Hispanoamérica?</w:t>
      </w:r>
    </w:p>
    <w:p w14:paraId="24302233" w14:textId="659CBFB7" w:rsidR="003C15D1" w:rsidRDefault="003C15D1" w:rsidP="007900F0">
      <w:pPr>
        <w:spacing w:line="360" w:lineRule="auto"/>
        <w:rPr>
          <w:rFonts w:ascii="Times" w:hAnsi="Times" w:cs="Times"/>
        </w:rPr>
      </w:pPr>
    </w:p>
    <w:p w14:paraId="7E16693C" w14:textId="0B00DDA1" w:rsidR="007900F0" w:rsidRDefault="007900F0" w:rsidP="007900F0">
      <w:pPr>
        <w:spacing w:line="360" w:lineRule="auto"/>
        <w:contextualSpacing/>
        <w:jc w:val="both"/>
        <w:rPr>
          <w:rFonts w:ascii="Garamond,Quattrocento" w:eastAsia="Garamond,Quattrocento" w:hAnsi="Garamond,Quattrocento" w:cs="Garamond,Quattrocento"/>
        </w:rPr>
      </w:pPr>
      <w:r>
        <w:t xml:space="preserve">2.- </w:t>
      </w:r>
      <w:r w:rsidRPr="2DC1AE5A">
        <w:rPr>
          <w:rFonts w:ascii="Garamond,Quattrocento" w:eastAsia="Garamond,Quattrocento" w:hAnsi="Garamond,Quattrocento" w:cs="Garamond,Quattrocento"/>
        </w:rPr>
        <w:t>¿Cuáles son las características fundamentales de la economía de América Latina a finales del siglo XIX y principios del XX? Se suele afirmar que la agricultura de monocultivos mantiene a los nuevos países en una situación de colonialismo económico. ¿Por qué?</w:t>
      </w:r>
    </w:p>
    <w:p w14:paraId="3B432189" w14:textId="196A5984" w:rsidR="007900F0" w:rsidRDefault="007900F0" w:rsidP="007900F0">
      <w:pPr>
        <w:spacing w:line="360" w:lineRule="auto"/>
        <w:contextualSpacing/>
        <w:jc w:val="both"/>
        <w:rPr>
          <w:rFonts w:ascii="Garamond,Quattrocento" w:eastAsia="Garamond,Quattrocento" w:hAnsi="Garamond,Quattrocento" w:cs="Garamond,Quattrocento"/>
        </w:rPr>
      </w:pPr>
    </w:p>
    <w:p w14:paraId="30997A24" w14:textId="77777777" w:rsidR="007900F0" w:rsidRDefault="007900F0" w:rsidP="007900F0">
      <w:pPr>
        <w:spacing w:line="360" w:lineRule="auto"/>
        <w:jc w:val="both"/>
      </w:pPr>
      <w:r>
        <w:rPr>
          <w:rFonts w:ascii="Garamond,Quattrocento" w:eastAsia="Garamond,Quattrocento" w:hAnsi="Garamond,Quattrocento" w:cs="Garamond,Quattrocento"/>
        </w:rPr>
        <w:t xml:space="preserve">3.- </w:t>
      </w:r>
      <w:r w:rsidRPr="2DC1AE5A">
        <w:rPr>
          <w:rFonts w:ascii="Garamond,Quattrocento" w:eastAsia="Garamond,Quattrocento" w:hAnsi="Garamond,Quattrocento" w:cs="Garamond,Quattrocento"/>
        </w:rPr>
        <w:t>Tenemos que volver un momento al capítulo 10 del manual de Quesada para comprender bien el arte de principios del siglo XX. ¿Qué es el positivismo en filosofía? (En el manual no hay mucha información, puedes ampliar.) El más importante movimiento artístico de Hispanoamérica a finales del siglo XIX es el modernismo. El modernismo surge, en parte, como rechazo al positivismo. ¿Cómo te imaginas ese rechazo?</w:t>
      </w:r>
    </w:p>
    <w:p w14:paraId="0AEF86A8" w14:textId="77777777" w:rsidR="007900F0" w:rsidRDefault="007900F0" w:rsidP="007900F0">
      <w:pPr>
        <w:spacing w:line="360" w:lineRule="auto"/>
        <w:jc w:val="both"/>
      </w:pPr>
    </w:p>
    <w:p w14:paraId="220D8AC3" w14:textId="5794C440" w:rsidR="007900F0" w:rsidRDefault="007900F0" w:rsidP="007900F0">
      <w:pPr>
        <w:spacing w:line="360" w:lineRule="auto"/>
        <w:jc w:val="both"/>
      </w:pPr>
      <w:r>
        <w:rPr>
          <w:rFonts w:ascii="Garamond,Quattrocento" w:eastAsia="Garamond,Quattrocento" w:hAnsi="Garamond,Quattrocento" w:cs="Garamond,Quattrocento"/>
        </w:rPr>
        <w:t>4</w:t>
      </w:r>
      <w:r w:rsidRPr="2DC1AE5A">
        <w:rPr>
          <w:rFonts w:ascii="Garamond,Quattrocento" w:eastAsia="Garamond,Quattrocento" w:hAnsi="Garamond,Quattrocento" w:cs="Garamond,Quattrocento"/>
        </w:rPr>
        <w:t>.- Ya en el siglo XX, ¿cuáles fueron los principales movimientos de las vanguardias artísticas en todo el mundo? ¿Qué es el surrealismo? ¿Conoces algún escritor surrealista (universal, checoslovaco, hispanoamericano)?</w:t>
      </w:r>
    </w:p>
    <w:p w14:paraId="7C91295C" w14:textId="77777777" w:rsidR="007900F0" w:rsidRDefault="007900F0" w:rsidP="007900F0">
      <w:pPr>
        <w:spacing w:line="360" w:lineRule="auto"/>
        <w:jc w:val="both"/>
      </w:pPr>
    </w:p>
    <w:p w14:paraId="0B7D3324" w14:textId="4A260030" w:rsidR="007F734A" w:rsidRDefault="007900F0" w:rsidP="007900F0">
      <w:pPr>
        <w:spacing w:line="360" w:lineRule="auto"/>
        <w:jc w:val="both"/>
      </w:pPr>
      <w:r>
        <w:rPr>
          <w:rFonts w:ascii="Garamond,Quattrocento" w:eastAsia="Garamond,Quattrocento" w:hAnsi="Garamond,Quattrocento" w:cs="Garamond,Quattrocento"/>
        </w:rPr>
        <w:t>5</w:t>
      </w:r>
      <w:r w:rsidRPr="2DC1AE5A">
        <w:rPr>
          <w:rFonts w:ascii="Garamond,Quattrocento" w:eastAsia="Garamond,Quattrocento" w:hAnsi="Garamond,Quattrocento" w:cs="Garamond,Quattrocento"/>
        </w:rPr>
        <w:t>.- ¿Qué es un mural? ¿Por qué Rivera, Orozco, etc. no pintaban cuadros, sino murales?</w:t>
      </w:r>
    </w:p>
    <w:p w14:paraId="5D1F9955" w14:textId="77777777" w:rsidR="007F734A" w:rsidRDefault="007F734A" w:rsidP="007900F0">
      <w:pPr>
        <w:spacing w:line="360" w:lineRule="auto"/>
      </w:pPr>
    </w:p>
    <w:sectPr w:rsidR="007F734A">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Quattrocen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4A"/>
    <w:rsid w:val="003C15D1"/>
    <w:rsid w:val="007900F0"/>
    <w:rsid w:val="007F734A"/>
    <w:rsid w:val="00E2378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4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CocoaOOXMLWriter/1404.13</generator>
</meta>
</file>

<file path=customXml/itemProps1.xml><?xml version="1.0" encoding="utf-8"?>
<ds:datastoreItem xmlns:ds="http://schemas.openxmlformats.org/officeDocument/2006/customXml" ds:itemID="{80DA2267-209C-4B41-9D93-696D1F10194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1705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Touriňo</cp:lastModifiedBy>
  <cp:revision>3</cp:revision>
  <dcterms:created xsi:type="dcterms:W3CDTF">2018-11-12T08:53:00Z</dcterms:created>
  <dcterms:modified xsi:type="dcterms:W3CDTF">2018-11-12T08:55:00Z</dcterms:modified>
</cp:coreProperties>
</file>