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D8" w:rsidRDefault="00977819">
      <w:r>
        <w:t>Viking, literatura</w:t>
      </w:r>
      <w:bookmarkStart w:id="0" w:name="_GoBack"/>
      <w:bookmarkEnd w:id="0"/>
      <w:r w:rsidR="006904E4">
        <w:t xml:space="preserve"> ke studiu</w:t>
      </w:r>
    </w:p>
    <w:p w:rsidR="006904E4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>ARBMAN, H. Vikingové. Praha 1969.</w:t>
      </w:r>
    </w:p>
    <w:p w:rsidR="006904E4" w:rsidRDefault="006904E4" w:rsidP="006904E4">
      <w:pPr>
        <w:rPr>
          <w:rFonts w:cs="Century Old Style LT CE"/>
          <w:color w:val="000000"/>
          <w:sz w:val="28"/>
          <w:szCs w:val="28"/>
        </w:rPr>
      </w:pPr>
      <w:r>
        <w:rPr>
          <w:rFonts w:cs="Century Old Style LT CE"/>
          <w:color w:val="000000"/>
          <w:sz w:val="28"/>
          <w:szCs w:val="28"/>
        </w:rPr>
        <w:t>Bednaříková, J. Stěhování národů a sever Evropy. Praha. 2017.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BEDNAŘÍKOVÁ, Jarmila. Charakteristika "barbarských" států. Příspěvek k metodologii dějin. </w:t>
      </w:r>
      <w:r>
        <w:rPr>
          <w:rFonts w:ascii="&amp;quot" w:hAnsi="&amp;quot"/>
          <w:b/>
          <w:bCs/>
          <w:color w:val="0A0A0A"/>
          <w:sz w:val="20"/>
          <w:szCs w:val="20"/>
        </w:rPr>
        <w:t xml:space="preserve">Studia </w:t>
      </w:r>
      <w:proofErr w:type="spellStart"/>
      <w:r>
        <w:rPr>
          <w:rFonts w:ascii="&amp;quot" w:hAnsi="&amp;quot"/>
          <w:b/>
          <w:bCs/>
          <w:color w:val="0A0A0A"/>
          <w:sz w:val="20"/>
          <w:szCs w:val="20"/>
        </w:rPr>
        <w:t>historica</w:t>
      </w:r>
      <w:proofErr w:type="spellEnd"/>
      <w:r>
        <w:rPr>
          <w:rFonts w:ascii="&amp;quot" w:hAnsi="&amp;quot"/>
          <w:b/>
          <w:bCs/>
          <w:color w:val="0A0A0A"/>
          <w:sz w:val="20"/>
          <w:szCs w:val="20"/>
        </w:rPr>
        <w:t xml:space="preserve"> </w:t>
      </w:r>
      <w:proofErr w:type="spellStart"/>
      <w:r>
        <w:rPr>
          <w:rFonts w:ascii="&amp;quot" w:hAnsi="&amp;quot"/>
          <w:b/>
          <w:bCs/>
          <w:color w:val="0A0A0A"/>
          <w:sz w:val="20"/>
          <w:szCs w:val="20"/>
        </w:rPr>
        <w:t>Nitriensia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Nitra: Univerzita Konštantína Filozofa v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Nitre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2016, roč. 2016/20, č. 1, s. 3-16.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S. BRINK, N. PRICE (Ed.), Viking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World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Oxon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>-New York 2008.</w:t>
      </w:r>
    </w:p>
    <w:p w:rsidR="006904E4" w:rsidRPr="007B65D7" w:rsidRDefault="006904E4" w:rsidP="006904E4">
      <w:pPr>
        <w:rPr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FORTE, A. – ORAM, R. – PEDERSEN, A. (Ed.) Viking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empires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>. Cambridge 2005.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K.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Jennbert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, L.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Larsson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, R.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Petré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, B.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Wis</w:t>
      </w:r>
      <w:r w:rsidRPr="007B65D7">
        <w:rPr>
          <w:rFonts w:cs="Century Old Style LT CE"/>
          <w:color w:val="000000"/>
          <w:sz w:val="28"/>
          <w:szCs w:val="28"/>
        </w:rPr>
        <w:softHyphen/>
        <w:t>zomirska-Werbart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(Ed.)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Regions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and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Reflections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>. Lund 1991.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>KADEČKOVÁ, H. Soumrak bohů. Praha 1998.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KRÜGER, J. Die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Wikinger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im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Mittelalter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Berlin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2008.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LOGAN, F. D. Die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Wikinger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in der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Geschichte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>. Stuttgart 1987.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NORWICH, J. J. Die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Wikinger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im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Mittelmeer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Das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Südreich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der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Normannen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1016 –1130. II. vydání: Wiesbaden 1974.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OXENSTIERNA, E. Die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Wikinger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Mundus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Verlag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>. 2002.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SIMPSON, J.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Everyday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Life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in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the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Viking Age. New York 1987.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TAVIANI-CAROZZI, H. La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terreur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du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monde. Robert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Guiscard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et la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conquête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normande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en Ita</w:t>
      </w:r>
      <w:r w:rsidRPr="007B65D7">
        <w:rPr>
          <w:rFonts w:cs="Century Old Style LT CE"/>
          <w:color w:val="000000"/>
          <w:sz w:val="28"/>
          <w:szCs w:val="28"/>
        </w:rPr>
        <w:softHyphen/>
        <w:t xml:space="preserve">lie.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Librarie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arthème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Fayard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>. 1996..</w:t>
      </w:r>
    </w:p>
    <w:p w:rsidR="006904E4" w:rsidRPr="007B65D7" w:rsidRDefault="006904E4" w:rsidP="006904E4">
      <w:pPr>
        <w:rPr>
          <w:rFonts w:cs="Century Old Style LT CE"/>
          <w:color w:val="000000"/>
          <w:sz w:val="28"/>
          <w:szCs w:val="28"/>
        </w:rPr>
      </w:pPr>
      <w:r w:rsidRPr="007B65D7">
        <w:rPr>
          <w:rFonts w:cs="Century Old Style LT CE"/>
          <w:color w:val="000000"/>
          <w:sz w:val="28"/>
          <w:szCs w:val="28"/>
        </w:rPr>
        <w:t xml:space="preserve">WINROTH, A.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The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Conversion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of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Scandinavia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.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Vikings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,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Merchants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and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Missionnaries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in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the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Remaking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of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Northern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Europa. New </w:t>
      </w:r>
      <w:proofErr w:type="spellStart"/>
      <w:r w:rsidRPr="007B65D7">
        <w:rPr>
          <w:rFonts w:cs="Century Old Style LT CE"/>
          <w:color w:val="000000"/>
          <w:sz w:val="28"/>
          <w:szCs w:val="28"/>
        </w:rPr>
        <w:t>Haven</w:t>
      </w:r>
      <w:proofErr w:type="spellEnd"/>
      <w:r w:rsidRPr="007B65D7">
        <w:rPr>
          <w:rFonts w:cs="Century Old Style LT CE"/>
          <w:color w:val="000000"/>
          <w:sz w:val="28"/>
          <w:szCs w:val="28"/>
        </w:rPr>
        <w:t xml:space="preserve"> 2012.</w:t>
      </w:r>
    </w:p>
    <w:p w:rsidR="006904E4" w:rsidRDefault="006904E4"/>
    <w:sectPr w:rsidR="006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Old Style LT CE">
    <w:altName w:val="Century Old Style LT CE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E4"/>
    <w:rsid w:val="00277D56"/>
    <w:rsid w:val="006904E4"/>
    <w:rsid w:val="00977819"/>
    <w:rsid w:val="00D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CBED"/>
  <w15:chartTrackingRefBased/>
  <w15:docId w15:val="{2A8FE477-D53C-40E8-8FD3-C37ACB4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2</cp:revision>
  <dcterms:created xsi:type="dcterms:W3CDTF">2019-09-19T07:15:00Z</dcterms:created>
  <dcterms:modified xsi:type="dcterms:W3CDTF">2019-09-19T07:15:00Z</dcterms:modified>
</cp:coreProperties>
</file>