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FBB" w:rsidRDefault="001F1FBB">
      <w:r>
        <w:t>Manche Fremdwörter haben einen anderen Artikel als im Tschechischen:</w:t>
      </w:r>
    </w:p>
    <w:p w:rsidR="001F1FBB" w:rsidRDefault="001F1FBB"/>
    <w:p w:rsidR="001F1FBB" w:rsidRDefault="001F1FBB">
      <w:pPr>
        <w:numPr>
          <w:ilvl w:val="0"/>
          <w:numId w:val="1"/>
        </w:numPr>
        <w:rPr>
          <w:b/>
          <w:lang w:val="cs-CZ"/>
        </w:rPr>
      </w:pPr>
      <w:r>
        <w:t xml:space="preserve">Alkoholische Getränke sind meistens Maskulina: r Wodka, r </w:t>
      </w:r>
      <w:proofErr w:type="spellStart"/>
      <w:r>
        <w:rPr>
          <w:lang w:val="cs-CZ"/>
        </w:rPr>
        <w:t>Slibowitz</w:t>
      </w:r>
      <w:proofErr w:type="spellEnd"/>
      <w:r>
        <w:rPr>
          <w:b/>
          <w:lang w:val="cs-CZ"/>
        </w:rPr>
        <w:t xml:space="preserve">, </w:t>
      </w:r>
      <w:r>
        <w:rPr>
          <w:lang w:val="cs-CZ"/>
        </w:rPr>
        <w:t>r Whisky</w:t>
      </w:r>
      <w:r>
        <w:rPr>
          <w:b/>
          <w:lang w:val="cs-CZ"/>
        </w:rPr>
        <w:t xml:space="preserve">,  </w:t>
      </w:r>
    </w:p>
    <w:p w:rsidR="001F1FBB" w:rsidRDefault="001F1FBB">
      <w:pPr>
        <w:rPr>
          <w:b/>
          <w:lang w:val="cs-CZ"/>
        </w:rPr>
      </w:pPr>
    </w:p>
    <w:p w:rsidR="001F1FBB" w:rsidRDefault="001F1FBB">
      <w:pPr>
        <w:rPr>
          <w:lang w:val="cs-CZ"/>
        </w:rPr>
      </w:pPr>
      <w:r>
        <w:rPr>
          <w:lang w:val="cs-CZ"/>
        </w:rPr>
        <w:t xml:space="preserve">2. </w:t>
      </w:r>
      <w:proofErr w:type="spellStart"/>
      <w:r>
        <w:rPr>
          <w:lang w:val="cs-CZ"/>
        </w:rPr>
        <w:t>Materieteilchen</w:t>
      </w:r>
      <w:proofErr w:type="spellEnd"/>
      <w:r>
        <w:rPr>
          <w:lang w:val="cs-CZ"/>
        </w:rPr>
        <w:t xml:space="preserve">, Elemente, </w:t>
      </w:r>
      <w:proofErr w:type="spellStart"/>
      <w:r>
        <w:rPr>
          <w:lang w:val="cs-CZ"/>
        </w:rPr>
        <w:t>Metalle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sind</w:t>
      </w:r>
      <w:proofErr w:type="spellEnd"/>
      <w:r>
        <w:rPr>
          <w:lang w:val="cs-CZ"/>
        </w:rPr>
        <w:t xml:space="preserve"> Neutra: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Atom,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Neutron,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Molekül</w:t>
      </w:r>
      <w:proofErr w:type="spellEnd"/>
      <w:r>
        <w:rPr>
          <w:lang w:val="cs-CZ"/>
        </w:rPr>
        <w:t xml:space="preserve">;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Fluor,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Jod,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Kobalt,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Molybdän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aber</w:t>
      </w:r>
      <w:proofErr w:type="spellEnd"/>
      <w:r>
        <w:rPr>
          <w:lang w:val="cs-CZ"/>
        </w:rPr>
        <w:t xml:space="preserve"> der </w:t>
      </w:r>
      <w:proofErr w:type="spellStart"/>
      <w:r>
        <w:rPr>
          <w:lang w:val="cs-CZ"/>
        </w:rPr>
        <w:t>Schwefel</w:t>
      </w:r>
      <w:proofErr w:type="spellEnd"/>
      <w:r>
        <w:rPr>
          <w:lang w:val="cs-CZ"/>
        </w:rPr>
        <w:t xml:space="preserve">),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Kohlendioxid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Metall</w:t>
      </w:r>
      <w:proofErr w:type="spellEnd"/>
      <w:r>
        <w:rPr>
          <w:lang w:val="cs-CZ"/>
        </w:rPr>
        <w:t xml:space="preserve">, </w:t>
      </w:r>
    </w:p>
    <w:p w:rsidR="001F1FBB" w:rsidRDefault="001F1FBB"/>
    <w:p w:rsidR="001F1FBB" w:rsidRDefault="001F1FBB">
      <w:r>
        <w:t xml:space="preserve">3. Der Artikel richtet sich nach dem Geschlecht des deutschen Synonyms oder </w:t>
      </w:r>
      <w:proofErr w:type="gramStart"/>
      <w:r>
        <w:t>Hyperonyms :</w:t>
      </w:r>
      <w:proofErr w:type="gramEnd"/>
      <w:r>
        <w:t xml:space="preserve"> </w:t>
      </w:r>
    </w:p>
    <w:p w:rsidR="001F1FBB" w:rsidRDefault="001F1FBB">
      <w:pPr>
        <w:rPr>
          <w:lang w:val="cs-CZ"/>
        </w:rPr>
      </w:pPr>
      <w:r>
        <w:t xml:space="preserve">r Tango, r </w:t>
      </w:r>
      <w:r>
        <w:rPr>
          <w:lang w:val="cs-CZ"/>
        </w:rPr>
        <w:t>Cha-Cha-Cha</w:t>
      </w:r>
      <w:r>
        <w:rPr>
          <w:b/>
          <w:lang w:val="cs-CZ"/>
        </w:rPr>
        <w:t xml:space="preserve"> </w:t>
      </w:r>
      <w:r>
        <w:rPr>
          <w:lang w:val="cs-CZ"/>
        </w:rPr>
        <w:t xml:space="preserve">,  r </w:t>
      </w:r>
      <w:proofErr w:type="spellStart"/>
      <w:r>
        <w:rPr>
          <w:lang w:val="cs-CZ"/>
        </w:rPr>
        <w:t>Paso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doble</w:t>
      </w:r>
      <w:proofErr w:type="spellEnd"/>
      <w:r>
        <w:rPr>
          <w:lang w:val="cs-CZ"/>
        </w:rPr>
        <w:t>;</w:t>
      </w:r>
      <w:r>
        <w:rPr>
          <w:b/>
          <w:lang w:val="cs-CZ"/>
        </w:rPr>
        <w:t xml:space="preserve"> </w:t>
      </w:r>
      <w:r>
        <w:t xml:space="preserve">der Torso, das Match, das Hockey, s </w:t>
      </w:r>
      <w:proofErr w:type="spellStart"/>
      <w:r>
        <w:rPr>
          <w:lang w:val="cs-CZ"/>
        </w:rPr>
        <w:t>Chevreau</w:t>
      </w:r>
      <w:proofErr w:type="spellEnd"/>
      <w:r>
        <w:rPr>
          <w:rStyle w:val="Znakypropoznmkupodarou"/>
        </w:rPr>
        <w:footnoteReference w:id="1"/>
      </w:r>
      <w:r>
        <w:rPr>
          <w:b/>
          <w:lang w:val="cs-CZ"/>
        </w:rPr>
        <w:t xml:space="preserve"> </w:t>
      </w:r>
      <w:r>
        <w:rPr>
          <w:lang w:val="cs-CZ"/>
        </w:rPr>
        <w:t xml:space="preserve"> 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Souvenir</w:t>
      </w:r>
      <w:proofErr w:type="spellEnd"/>
      <w:r>
        <w:rPr>
          <w:rStyle w:val="Znakypropoznmkupodarou"/>
          <w:lang w:val="cs-CZ"/>
        </w:rPr>
        <w:footnoteReference w:id="2"/>
      </w:r>
      <w:r>
        <w:rPr>
          <w:lang w:val="cs-CZ"/>
        </w:rPr>
        <w:t xml:space="preserve">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Aquarell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Goal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Chanson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Image,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Puzzle, </w:t>
      </w:r>
      <w:proofErr w:type="spellStart"/>
      <w:r>
        <w:rPr>
          <w:lang w:val="cs-CZ"/>
        </w:rPr>
        <w:t>die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Bouillon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Crew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die</w:t>
      </w:r>
      <w:proofErr w:type="spellEnd"/>
      <w:r>
        <w:rPr>
          <w:lang w:val="cs-CZ"/>
        </w:rPr>
        <w:t xml:space="preserve"> Gang, </w:t>
      </w:r>
      <w:proofErr w:type="spellStart"/>
      <w:r>
        <w:rPr>
          <w:lang w:val="cs-CZ"/>
        </w:rPr>
        <w:t>die</w:t>
      </w:r>
      <w:proofErr w:type="spellEnd"/>
      <w:r>
        <w:rPr>
          <w:lang w:val="cs-CZ"/>
        </w:rPr>
        <w:t xml:space="preserve"> Grapefruit, </w:t>
      </w:r>
      <w:proofErr w:type="spellStart"/>
      <w:r>
        <w:rPr>
          <w:lang w:val="cs-CZ"/>
        </w:rPr>
        <w:t>die</w:t>
      </w:r>
      <w:proofErr w:type="spellEnd"/>
      <w:r>
        <w:rPr>
          <w:lang w:val="cs-CZ"/>
        </w:rPr>
        <w:t xml:space="preserve"> Band, </w:t>
      </w:r>
      <w:proofErr w:type="spellStart"/>
      <w:r>
        <w:rPr>
          <w:lang w:val="cs-CZ"/>
        </w:rPr>
        <w:t>die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Boening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Kawasaki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Pony </w:t>
      </w:r>
      <w:proofErr w:type="spellStart"/>
      <w:r>
        <w:rPr>
          <w:sz w:val="20"/>
          <w:lang w:val="cs-CZ"/>
        </w:rPr>
        <w:t>als</w:t>
      </w:r>
      <w:proofErr w:type="spellEnd"/>
      <w:r>
        <w:rPr>
          <w:sz w:val="20"/>
          <w:lang w:val="cs-CZ"/>
        </w:rPr>
        <w:t xml:space="preserve"> </w:t>
      </w:r>
      <w:proofErr w:type="spellStart"/>
      <w:r>
        <w:rPr>
          <w:sz w:val="20"/>
          <w:lang w:val="cs-CZ"/>
        </w:rPr>
        <w:t>Pferd</w:t>
      </w:r>
      <w:proofErr w:type="spellEnd"/>
      <w:r>
        <w:rPr>
          <w:lang w:val="cs-CZ"/>
        </w:rPr>
        <w:t xml:space="preserve">, der Pony </w:t>
      </w:r>
      <w:proofErr w:type="spellStart"/>
      <w:r>
        <w:rPr>
          <w:sz w:val="20"/>
          <w:lang w:val="cs-CZ"/>
        </w:rPr>
        <w:t>als</w:t>
      </w:r>
      <w:proofErr w:type="spellEnd"/>
      <w:r>
        <w:rPr>
          <w:sz w:val="20"/>
          <w:lang w:val="cs-CZ"/>
        </w:rPr>
        <w:t xml:space="preserve"> </w:t>
      </w:r>
      <w:proofErr w:type="spellStart"/>
      <w:r>
        <w:rPr>
          <w:sz w:val="20"/>
          <w:lang w:val="cs-CZ"/>
        </w:rPr>
        <w:t>Haarschnitt</w:t>
      </w:r>
      <w:proofErr w:type="spellEnd"/>
      <w:r>
        <w:rPr>
          <w:lang w:val="cs-CZ"/>
        </w:rPr>
        <w:t>.</w:t>
      </w:r>
    </w:p>
    <w:p w:rsidR="001F1FBB" w:rsidRDefault="001F1FBB">
      <w:pPr>
        <w:rPr>
          <w:lang w:val="cs-CZ"/>
        </w:rPr>
      </w:pPr>
    </w:p>
    <w:p w:rsidR="001F1FBB" w:rsidRDefault="001F1FBB">
      <w:pPr>
        <w:rPr>
          <w:lang w:val="cs-CZ"/>
        </w:rPr>
      </w:pPr>
      <w:r>
        <w:rPr>
          <w:lang w:val="cs-CZ"/>
        </w:rPr>
        <w:t xml:space="preserve">4. </w:t>
      </w:r>
      <w:proofErr w:type="spellStart"/>
      <w:r>
        <w:rPr>
          <w:lang w:val="cs-CZ"/>
        </w:rPr>
        <w:t>Folgende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Lehnsuffixe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bilden</w:t>
      </w:r>
      <w:proofErr w:type="spellEnd"/>
      <w:r>
        <w:rPr>
          <w:lang w:val="cs-CZ"/>
        </w:rPr>
        <w:t xml:space="preserve"> Neutra: -</w:t>
      </w:r>
      <w:proofErr w:type="spellStart"/>
      <w:r>
        <w:rPr>
          <w:lang w:val="cs-CZ"/>
        </w:rPr>
        <w:t>at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em</w:t>
      </w:r>
      <w:proofErr w:type="spellEnd"/>
      <w:r>
        <w:rPr>
          <w:lang w:val="cs-CZ"/>
        </w:rPr>
        <w:t>, -</w:t>
      </w:r>
      <w:proofErr w:type="spellStart"/>
      <w:r>
        <w:rPr>
          <w:lang w:val="cs-CZ"/>
        </w:rPr>
        <w:t>ett</w:t>
      </w:r>
      <w:proofErr w:type="spellEnd"/>
      <w:r>
        <w:rPr>
          <w:lang w:val="cs-CZ"/>
        </w:rPr>
        <w:t>, -on, -</w:t>
      </w:r>
      <w:proofErr w:type="spellStart"/>
      <w:r>
        <w:rPr>
          <w:lang w:val="cs-CZ"/>
        </w:rPr>
        <w:t>ikt</w:t>
      </w:r>
      <w:proofErr w:type="spellEnd"/>
      <w:r>
        <w:rPr>
          <w:lang w:val="cs-CZ"/>
        </w:rPr>
        <w:t>, -in, -</w:t>
      </w:r>
      <w:proofErr w:type="spellStart"/>
      <w:r>
        <w:rPr>
          <w:lang w:val="cs-CZ"/>
        </w:rPr>
        <w:t>ing</w:t>
      </w:r>
      <w:proofErr w:type="spellEnd"/>
      <w:r>
        <w:rPr>
          <w:lang w:val="cs-CZ"/>
        </w:rPr>
        <w:t>, -</w:t>
      </w:r>
      <w:proofErr w:type="spellStart"/>
      <w:r>
        <w:rPr>
          <w:lang w:val="cs-CZ"/>
        </w:rPr>
        <w:t>ment</w:t>
      </w:r>
      <w:proofErr w:type="spellEnd"/>
      <w:r>
        <w:rPr>
          <w:lang w:val="cs-CZ"/>
        </w:rPr>
        <w:t>, -o, -</w:t>
      </w:r>
      <w:proofErr w:type="spellStart"/>
      <w:r>
        <w:rPr>
          <w:lang w:val="cs-CZ"/>
        </w:rPr>
        <w:t>ekt</w:t>
      </w:r>
      <w:proofErr w:type="spellEnd"/>
      <w:r>
        <w:rPr>
          <w:lang w:val="cs-CZ"/>
        </w:rPr>
        <w:t xml:space="preserve">, - </w:t>
      </w:r>
      <w:proofErr w:type="spellStart"/>
      <w:r>
        <w:rPr>
          <w:lang w:val="cs-CZ"/>
        </w:rPr>
        <w:t>il</w:t>
      </w:r>
      <w:proofErr w:type="spellEnd"/>
      <w:r>
        <w:rPr>
          <w:lang w:val="cs-CZ"/>
        </w:rPr>
        <w:t>, -i</w:t>
      </w:r>
      <w:r>
        <w:t>z</w:t>
      </w:r>
      <w:r>
        <w:rPr>
          <w:lang w:val="cs-CZ"/>
        </w:rPr>
        <w:t>:</w:t>
      </w:r>
    </w:p>
    <w:p w:rsidR="001F1FBB" w:rsidRDefault="001F1FBB">
      <w:pPr>
        <w:rPr>
          <w:lang w:val="cs-CZ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Plakat, </w:t>
      </w:r>
      <w:r>
        <w:rPr>
          <w:color w:val="000000"/>
        </w:rPr>
        <w:t>das Aggregat, das Attentat, das Format, das Referat, das Präfabrikat, das Inserat, das Testat</w:t>
      </w:r>
      <w:r>
        <w:rPr>
          <w:color w:val="000000"/>
          <w:sz w:val="20"/>
        </w:rPr>
        <w:t xml:space="preserve">, </w:t>
      </w:r>
      <w:r>
        <w:rPr>
          <w:color w:val="000000"/>
        </w:rPr>
        <w:t>das</w:t>
      </w:r>
      <w:r>
        <w:rPr>
          <w:color w:val="000000"/>
          <w:sz w:val="20"/>
        </w:rPr>
        <w:t xml:space="preserve"> </w:t>
      </w:r>
      <w:r>
        <w:rPr>
          <w:color w:val="000000"/>
        </w:rPr>
        <w:t>Zitat, das Konsulat, das Notariat, das Noviziat</w:t>
      </w:r>
      <w:r>
        <w:rPr>
          <w:lang w:val="cs-CZ"/>
        </w:rPr>
        <w:t xml:space="preserve">;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Ekzem</w:t>
      </w:r>
      <w:proofErr w:type="spellEnd"/>
      <w:r>
        <w:rPr>
          <w:b/>
          <w:lang w:val="cs-CZ"/>
        </w:rPr>
        <w:t xml:space="preserve">, 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Morphem</w:t>
      </w:r>
      <w:proofErr w:type="spellEnd"/>
      <w:r>
        <w:rPr>
          <w:lang w:val="cs-CZ"/>
        </w:rPr>
        <w:t xml:space="preserve">; 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Korsett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Balett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Skelett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r>
        <w:rPr>
          <w:color w:val="000000"/>
        </w:rPr>
        <w:t>Quartett</w:t>
      </w:r>
      <w:r>
        <w:rPr>
          <w:lang w:val="cs-CZ"/>
        </w:rPr>
        <w:t xml:space="preserve">;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Diktaphon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r>
        <w:rPr>
          <w:color w:val="000000"/>
        </w:rPr>
        <w:t>Hormon, das Medaillon, das Feuilleton</w:t>
      </w:r>
      <w:r>
        <w:rPr>
          <w:lang w:val="cs-CZ"/>
        </w:rPr>
        <w:t xml:space="preserve">;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Benzin,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Nikotin,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Insulin,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Vitamin,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Bulletin</w:t>
      </w:r>
      <w:r>
        <w:rPr>
          <w:rStyle w:val="Znakypropoznmkupodarou"/>
          <w:lang w:val="cs-CZ"/>
        </w:rPr>
        <w:footnoteReference w:id="3"/>
      </w:r>
      <w:r>
        <w:rPr>
          <w:lang w:val="cs-CZ"/>
        </w:rPr>
        <w:t xml:space="preserve">;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Magazin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Training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Instrument,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Parlament,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r>
        <w:rPr>
          <w:color w:val="000000"/>
        </w:rPr>
        <w:t>Argument, das Kompliment, das Kontingent, das Medikament, das Temperament</w:t>
      </w:r>
      <w:r>
        <w:rPr>
          <w:lang w:val="cs-CZ"/>
        </w:rPr>
        <w:t xml:space="preserve">;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Tempo,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Insekt,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Projekt,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Subjekt, </w:t>
      </w:r>
      <w:r>
        <w:rPr>
          <w:color w:val="000000"/>
        </w:rPr>
        <w:t xml:space="preserve">das </w:t>
      </w:r>
      <w:r>
        <w:rPr>
          <w:lang w:val="cs-CZ"/>
        </w:rPr>
        <w:t xml:space="preserve">Produkt,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r>
        <w:rPr>
          <w:color w:val="000000"/>
        </w:rPr>
        <w:t>Exil, das Konzil, das Ventil, das Fossil, das Indiz</w:t>
      </w:r>
      <w:r>
        <w:rPr>
          <w:lang w:val="cs-CZ"/>
        </w:rPr>
        <w:t>.</w:t>
      </w:r>
    </w:p>
    <w:p w:rsidR="001F1FBB" w:rsidRDefault="001F1FBB">
      <w:pPr>
        <w:rPr>
          <w:lang w:val="cs-CZ"/>
        </w:rPr>
      </w:pPr>
      <w:r>
        <w:rPr>
          <w:lang w:val="cs-CZ"/>
        </w:rPr>
        <w:t xml:space="preserve"> </w:t>
      </w:r>
    </w:p>
    <w:p w:rsidR="001F1FBB" w:rsidRDefault="001F1FBB">
      <w:pPr>
        <w:rPr>
          <w:lang w:val="cs-CZ"/>
        </w:rPr>
      </w:pPr>
      <w:r>
        <w:rPr>
          <w:lang w:val="cs-CZ"/>
        </w:rPr>
        <w:t xml:space="preserve">5. </w:t>
      </w:r>
      <w:proofErr w:type="spellStart"/>
      <w:r>
        <w:rPr>
          <w:lang w:val="cs-CZ"/>
        </w:rPr>
        <w:t>Folgende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Lehnwörter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sind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für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Tschechen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wegen</w:t>
      </w:r>
      <w:proofErr w:type="spellEnd"/>
      <w:r>
        <w:rPr>
          <w:lang w:val="cs-CZ"/>
        </w:rPr>
        <w:t xml:space="preserve"> der </w:t>
      </w:r>
      <w:proofErr w:type="spellStart"/>
      <w:r>
        <w:rPr>
          <w:lang w:val="cs-CZ"/>
        </w:rPr>
        <w:t>Mutterspracheninterferenz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schwieriger</w:t>
      </w:r>
      <w:proofErr w:type="spellEnd"/>
      <w:r>
        <w:rPr>
          <w:lang w:val="cs-CZ"/>
        </w:rPr>
        <w:t>:</w:t>
      </w:r>
    </w:p>
    <w:p w:rsidR="001F1FBB" w:rsidRDefault="001F1FBB">
      <w:pPr>
        <w:rPr>
          <w:color w:val="000000"/>
        </w:rPr>
      </w:pP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Mosaik</w:t>
      </w:r>
      <w:r>
        <w:rPr>
          <w:b/>
          <w:lang w:val="cs-CZ"/>
        </w:rPr>
        <w:t xml:space="preserve">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Spalier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Kollier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Manier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Narzisse</w:t>
      </w:r>
      <w:proofErr w:type="spellEnd"/>
      <w:r>
        <w:rPr>
          <w:lang w:val="cs-CZ"/>
        </w:rPr>
        <w:t xml:space="preserve">, der </w:t>
      </w:r>
      <w:proofErr w:type="spellStart"/>
      <w:r>
        <w:rPr>
          <w:lang w:val="cs-CZ"/>
        </w:rPr>
        <w:t>Pyjama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osterr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), </w:t>
      </w:r>
      <w:proofErr w:type="spellStart"/>
      <w:r>
        <w:rPr>
          <w:lang w:val="cs-CZ"/>
        </w:rPr>
        <w:t>die</w:t>
      </w:r>
      <w:proofErr w:type="spellEnd"/>
      <w:r>
        <w:rPr>
          <w:lang w:val="cs-CZ"/>
        </w:rPr>
        <w:t xml:space="preserve"> Akte, der Ruin</w:t>
      </w:r>
      <w:r>
        <w:rPr>
          <w:rStyle w:val="Znakypropoznmkupodarou"/>
          <w:lang w:val="cs-CZ"/>
        </w:rPr>
        <w:footnoteReference w:id="4"/>
      </w:r>
      <w:r>
        <w:rPr>
          <w:lang w:val="cs-CZ"/>
        </w:rPr>
        <w:t xml:space="preserve">,  Techno,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od. der, </w:t>
      </w:r>
      <w:r>
        <w:t xml:space="preserve">r Euro, das </w:t>
      </w:r>
      <w:r>
        <w:rPr>
          <w:color w:val="000000"/>
        </w:rPr>
        <w:t>Archiv, das Material, das Spital, das Präzedens, das Prinzip. die Metro, der oder das Yoga.</w:t>
      </w:r>
    </w:p>
    <w:p w:rsidR="001F1FBB" w:rsidRDefault="001F1FBB">
      <w:pPr>
        <w:rPr>
          <w:lang w:val="cs-CZ"/>
        </w:rPr>
      </w:pPr>
    </w:p>
    <w:p w:rsidR="001F1FBB" w:rsidRDefault="001F1FBB">
      <w:pPr>
        <w:rPr>
          <w:lang w:val="cs-CZ"/>
        </w:rPr>
      </w:pPr>
      <w:r>
        <w:rPr>
          <w:lang w:val="cs-CZ"/>
        </w:rPr>
        <w:t xml:space="preserve">5. </w:t>
      </w:r>
      <w:proofErr w:type="spellStart"/>
      <w:r>
        <w:rPr>
          <w:lang w:val="cs-CZ"/>
        </w:rPr>
        <w:t>Folgende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Endungen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dürfen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nicht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verwirren</w:t>
      </w:r>
      <w:proofErr w:type="spellEnd"/>
      <w:r>
        <w:rPr>
          <w:lang w:val="cs-CZ"/>
        </w:rPr>
        <w:t xml:space="preserve">, es </w:t>
      </w:r>
      <w:proofErr w:type="spellStart"/>
      <w:r>
        <w:rPr>
          <w:lang w:val="cs-CZ"/>
        </w:rPr>
        <w:t>sind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doch</w:t>
      </w:r>
      <w:proofErr w:type="spellEnd"/>
      <w:r>
        <w:rPr>
          <w:lang w:val="cs-CZ"/>
        </w:rPr>
        <w:t xml:space="preserve">) </w:t>
      </w:r>
      <w:proofErr w:type="spellStart"/>
      <w:r>
        <w:rPr>
          <w:lang w:val="cs-CZ"/>
        </w:rPr>
        <w:t>al</w:t>
      </w:r>
      <w:bookmarkStart w:id="0" w:name="_GoBack"/>
      <w:bookmarkEnd w:id="0"/>
      <w:r>
        <w:rPr>
          <w:lang w:val="cs-CZ"/>
        </w:rPr>
        <w:t>les</w:t>
      </w:r>
      <w:proofErr w:type="spellEnd"/>
      <w:r>
        <w:rPr>
          <w:lang w:val="cs-CZ"/>
        </w:rPr>
        <w:t xml:space="preserve"> Neutra:</w:t>
      </w:r>
    </w:p>
    <w:p w:rsidR="001F1FBB" w:rsidRDefault="001F1FBB">
      <w:pPr>
        <w:rPr>
          <w:color w:val="000000"/>
        </w:rPr>
      </w:pPr>
      <w:r>
        <w:rPr>
          <w:color w:val="000000"/>
        </w:rPr>
        <w:t xml:space="preserve">das Tempus *Plural Tempora kann Ihnen, das Genus, das Rhinozeros, </w:t>
      </w:r>
      <w:proofErr w:type="spellStart"/>
      <w:r>
        <w:rPr>
          <w:lang w:val="cs-CZ"/>
        </w:rPr>
        <w:t>das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lang w:val="cs-CZ"/>
        </w:rPr>
        <w:t>Kapital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Lineal</w:t>
      </w:r>
      <w:proofErr w:type="spellEnd"/>
      <w:r>
        <w:rPr>
          <w:lang w:val="cs-CZ"/>
        </w:rPr>
        <w:t>,</w:t>
      </w:r>
      <w:r>
        <w:rPr>
          <w:b/>
          <w:lang w:val="cs-CZ"/>
        </w:rPr>
        <w:t xml:space="preserve">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Oval,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Organ, </w:t>
      </w:r>
      <w:proofErr w:type="spellStart"/>
      <w:r>
        <w:rPr>
          <w:lang w:val="cs-CZ"/>
        </w:rPr>
        <w:t>das</w:t>
      </w:r>
      <w:proofErr w:type="spellEnd"/>
      <w:r>
        <w:rPr>
          <w:lang w:val="cs-CZ"/>
        </w:rPr>
        <w:t xml:space="preserve"> </w:t>
      </w:r>
      <w:r>
        <w:rPr>
          <w:color w:val="000000"/>
        </w:rPr>
        <w:t>Exemplar, das Formular, das Honorar, das Inventar, das Furnier</w:t>
      </w:r>
      <w:r>
        <w:rPr>
          <w:rStyle w:val="Znakypropoznmkupodarou"/>
          <w:color w:val="000000"/>
        </w:rPr>
        <w:footnoteReference w:id="5"/>
      </w:r>
      <w:r>
        <w:rPr>
          <w:color w:val="000000"/>
        </w:rPr>
        <w:t xml:space="preserve">, das </w:t>
      </w:r>
      <w:proofErr w:type="spellStart"/>
      <w:proofErr w:type="gramStart"/>
      <w:r>
        <w:rPr>
          <w:lang w:val="cs-CZ"/>
        </w:rPr>
        <w:t>Turnier</w:t>
      </w:r>
      <w:proofErr w:type="spellEnd"/>
      <w:r>
        <w:rPr>
          <w:lang w:val="cs-CZ"/>
        </w:rPr>
        <w:t xml:space="preserve">, </w:t>
      </w:r>
      <w:r>
        <w:rPr>
          <w:color w:val="000000"/>
        </w:rPr>
        <w:t xml:space="preserve"> das</w:t>
      </w:r>
      <w:proofErr w:type="gramEnd"/>
      <w:r>
        <w:rPr>
          <w:color w:val="000000"/>
        </w:rPr>
        <w:t xml:space="preserve"> Klavier, das </w:t>
      </w:r>
      <w:r>
        <w:rPr>
          <w:lang w:val="cs-CZ"/>
        </w:rPr>
        <w:t>Team</w:t>
      </w:r>
      <w:r>
        <w:rPr>
          <w:color w:val="000000"/>
        </w:rPr>
        <w:t>, das Epos, das Examen,</w:t>
      </w:r>
    </w:p>
    <w:p w:rsidR="001F1FBB" w:rsidRDefault="001F1FBB">
      <w:pPr>
        <w:rPr>
          <w:lang w:val="cs-CZ"/>
        </w:rPr>
      </w:pPr>
    </w:p>
    <w:p w:rsidR="001F1FBB" w:rsidRDefault="001F1FBB">
      <w:pPr>
        <w:rPr>
          <w:b/>
          <w:lang w:val="cs-CZ"/>
        </w:rPr>
      </w:pPr>
      <w:r>
        <w:rPr>
          <w:b/>
          <w:lang w:val="cs-CZ"/>
        </w:rPr>
        <w:t xml:space="preserve"> </w:t>
      </w:r>
    </w:p>
    <w:p w:rsidR="001F1FBB" w:rsidRDefault="001F1FBB">
      <w:pPr>
        <w:rPr>
          <w:lang w:val="cs-CZ"/>
        </w:rPr>
      </w:pPr>
    </w:p>
    <w:p w:rsidR="001F1FBB" w:rsidRDefault="001F1FBB">
      <w:pPr>
        <w:rPr>
          <w:lang w:val="cs-CZ"/>
        </w:rPr>
      </w:pPr>
    </w:p>
    <w:p w:rsidR="001F1FBB" w:rsidRDefault="001F1FBB"/>
    <w:p w:rsidR="001F1FBB" w:rsidRDefault="001F1FBB"/>
    <w:p w:rsidR="001F1FBB" w:rsidRDefault="001F1FBB">
      <w:pPr>
        <w:rPr>
          <w:lang w:val="cs-CZ"/>
        </w:rPr>
      </w:pPr>
    </w:p>
    <w:p w:rsidR="001F1FBB" w:rsidRDefault="001F1FBB"/>
    <w:sectPr w:rsidR="001F1FBB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54B" w:rsidRDefault="0066754B">
      <w:r>
        <w:separator/>
      </w:r>
    </w:p>
  </w:endnote>
  <w:endnote w:type="continuationSeparator" w:id="0">
    <w:p w:rsidR="0066754B" w:rsidRDefault="0066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54B" w:rsidRDefault="0066754B">
      <w:r>
        <w:separator/>
      </w:r>
    </w:p>
  </w:footnote>
  <w:footnote w:type="continuationSeparator" w:id="0">
    <w:p w:rsidR="0066754B" w:rsidRDefault="0066754B">
      <w:r>
        <w:continuationSeparator/>
      </w:r>
    </w:p>
  </w:footnote>
  <w:footnote w:id="1">
    <w:p w:rsidR="001F1FBB" w:rsidRDefault="001F1FBB">
      <w:pPr>
        <w:pStyle w:val="Textpoznpodarou"/>
      </w:pPr>
      <w:r>
        <w:rPr>
          <w:rStyle w:val="Znakypropoznmkupodarou"/>
        </w:rPr>
        <w:footnoteRef/>
      </w:r>
      <w:r>
        <w:tab/>
        <w:t xml:space="preserve"> </w:t>
      </w:r>
      <w:proofErr w:type="spellStart"/>
      <w:r>
        <w:t>Ziegenleder</w:t>
      </w:r>
      <w:proofErr w:type="spellEnd"/>
    </w:p>
  </w:footnote>
  <w:footnote w:id="2">
    <w:p w:rsidR="001F1FBB" w:rsidRDefault="001F1FBB">
      <w:pPr>
        <w:pStyle w:val="Textpoznpodarou"/>
      </w:pPr>
      <w:r>
        <w:rPr>
          <w:rStyle w:val="Znakypropoznmkupodarou"/>
        </w:rPr>
        <w:footnoteRef/>
      </w:r>
      <w:r>
        <w:tab/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Andenken</w:t>
      </w:r>
      <w:proofErr w:type="spellEnd"/>
    </w:p>
  </w:footnote>
  <w:footnote w:id="3">
    <w:p w:rsidR="001F1FBB" w:rsidRDefault="001F1FBB">
      <w:pPr>
        <w:pStyle w:val="Textpoznpodarou"/>
        <w:rPr>
          <w:color w:val="000000"/>
          <w:lang w:val="de-DE"/>
        </w:rPr>
      </w:pPr>
      <w:r>
        <w:rPr>
          <w:rStyle w:val="Znakypropoznmkupodarou"/>
        </w:rPr>
        <w:footnoteRef/>
      </w:r>
      <w:r>
        <w:tab/>
        <w:t xml:space="preserve"> </w:t>
      </w:r>
      <w:proofErr w:type="spellStart"/>
      <w:r>
        <w:t>aber</w:t>
      </w:r>
      <w:proofErr w:type="spellEnd"/>
      <w:r>
        <w:t xml:space="preserve"> der </w:t>
      </w:r>
      <w:r>
        <w:rPr>
          <w:color w:val="000000"/>
          <w:lang w:val="de-DE"/>
        </w:rPr>
        <w:t>Gobelin</w:t>
      </w:r>
    </w:p>
  </w:footnote>
  <w:footnote w:id="4">
    <w:p w:rsidR="001F1FBB" w:rsidRDefault="001F1FBB">
      <w:pPr>
        <w:rPr>
          <w:rFonts w:eastAsia="Calibri"/>
          <w:sz w:val="20"/>
          <w:lang w:val="cs-CZ"/>
        </w:rPr>
      </w:pPr>
      <w:r>
        <w:rPr>
          <w:rStyle w:val="Znakypropoznmkupodarou"/>
        </w:rPr>
        <w:footnoteRef/>
      </w:r>
      <w:r>
        <w:tab/>
        <w:t xml:space="preserve"> </w:t>
      </w:r>
      <w:proofErr w:type="spellStart"/>
      <w:r>
        <w:rPr>
          <w:rFonts w:eastAsia="Calibri"/>
          <w:sz w:val="20"/>
          <w:lang w:val="cs-CZ"/>
        </w:rPr>
        <w:t>Zustand</w:t>
      </w:r>
      <w:proofErr w:type="spellEnd"/>
      <w:r>
        <w:rPr>
          <w:rFonts w:eastAsia="Calibri"/>
          <w:sz w:val="20"/>
          <w:lang w:val="cs-CZ"/>
        </w:rPr>
        <w:t xml:space="preserve">, in dem </w:t>
      </w:r>
      <w:proofErr w:type="spellStart"/>
      <w:r>
        <w:rPr>
          <w:rFonts w:eastAsia="Calibri"/>
          <w:sz w:val="20"/>
          <w:lang w:val="cs-CZ"/>
        </w:rPr>
        <w:t>eine</w:t>
      </w:r>
      <w:proofErr w:type="spellEnd"/>
      <w:r>
        <w:rPr>
          <w:rFonts w:eastAsia="Calibri"/>
          <w:sz w:val="20"/>
          <w:lang w:val="cs-CZ"/>
        </w:rPr>
        <w:t xml:space="preserve"> Person od. </w:t>
      </w:r>
      <w:proofErr w:type="spellStart"/>
      <w:r>
        <w:rPr>
          <w:rFonts w:eastAsia="Calibri"/>
          <w:sz w:val="20"/>
          <w:lang w:val="cs-CZ"/>
        </w:rPr>
        <w:t>Sache</w:t>
      </w:r>
      <w:proofErr w:type="spellEnd"/>
      <w:r>
        <w:rPr>
          <w:rFonts w:eastAsia="Calibri"/>
          <w:sz w:val="20"/>
          <w:lang w:val="cs-CZ"/>
        </w:rPr>
        <w:t xml:space="preserve"> in </w:t>
      </w:r>
      <w:proofErr w:type="spellStart"/>
      <w:r>
        <w:rPr>
          <w:rFonts w:eastAsia="Calibri"/>
          <w:sz w:val="20"/>
          <w:lang w:val="cs-CZ"/>
        </w:rPr>
        <w:t>ihrer</w:t>
      </w:r>
      <w:proofErr w:type="spellEnd"/>
      <w:r>
        <w:rPr>
          <w:rFonts w:eastAsia="Calibri"/>
          <w:sz w:val="20"/>
          <w:lang w:val="cs-CZ"/>
        </w:rPr>
        <w:t xml:space="preserve"> </w:t>
      </w:r>
      <w:proofErr w:type="spellStart"/>
      <w:r>
        <w:rPr>
          <w:rFonts w:eastAsia="Calibri"/>
          <w:sz w:val="20"/>
          <w:lang w:val="cs-CZ"/>
        </w:rPr>
        <w:t>Existenz</w:t>
      </w:r>
      <w:proofErr w:type="spellEnd"/>
      <w:r>
        <w:rPr>
          <w:rFonts w:eastAsia="Calibri"/>
          <w:sz w:val="20"/>
          <w:lang w:val="cs-CZ"/>
        </w:rPr>
        <w:t xml:space="preserve"> </w:t>
      </w:r>
      <w:proofErr w:type="spellStart"/>
      <w:r>
        <w:rPr>
          <w:rFonts w:eastAsia="Calibri"/>
          <w:sz w:val="20"/>
          <w:lang w:val="cs-CZ"/>
        </w:rPr>
        <w:t>getroffen</w:t>
      </w:r>
      <w:proofErr w:type="spellEnd"/>
      <w:r>
        <w:rPr>
          <w:rFonts w:eastAsia="Calibri"/>
          <w:sz w:val="20"/>
          <w:lang w:val="cs-CZ"/>
        </w:rPr>
        <w:t xml:space="preserve"> </w:t>
      </w:r>
      <w:proofErr w:type="spellStart"/>
      <w:r>
        <w:rPr>
          <w:rFonts w:eastAsia="Calibri"/>
          <w:sz w:val="20"/>
          <w:lang w:val="cs-CZ"/>
        </w:rPr>
        <w:t>ist</w:t>
      </w:r>
      <w:proofErr w:type="spellEnd"/>
      <w:r>
        <w:rPr>
          <w:rFonts w:eastAsia="Calibri"/>
          <w:sz w:val="20"/>
          <w:lang w:val="cs-CZ"/>
        </w:rPr>
        <w:t>, (</w:t>
      </w:r>
      <w:proofErr w:type="spellStart"/>
      <w:r>
        <w:rPr>
          <w:rFonts w:eastAsia="Calibri"/>
          <w:sz w:val="20"/>
          <w:lang w:val="cs-CZ"/>
        </w:rPr>
        <w:t>körperlich</w:t>
      </w:r>
      <w:proofErr w:type="spellEnd"/>
      <w:r>
        <w:rPr>
          <w:rFonts w:eastAsia="Calibri"/>
          <w:sz w:val="20"/>
          <w:lang w:val="cs-CZ"/>
        </w:rPr>
        <w:t xml:space="preserve">, </w:t>
      </w:r>
      <w:proofErr w:type="spellStart"/>
      <w:r>
        <w:rPr>
          <w:rFonts w:eastAsia="Calibri"/>
          <w:sz w:val="20"/>
          <w:lang w:val="cs-CZ"/>
        </w:rPr>
        <w:t>moralisch</w:t>
      </w:r>
      <w:proofErr w:type="spellEnd"/>
      <w:r>
        <w:rPr>
          <w:rFonts w:eastAsia="Calibri"/>
          <w:sz w:val="20"/>
          <w:lang w:val="cs-CZ"/>
        </w:rPr>
        <w:t xml:space="preserve">, </w:t>
      </w:r>
      <w:proofErr w:type="spellStart"/>
      <w:r>
        <w:rPr>
          <w:rFonts w:eastAsia="Calibri"/>
          <w:sz w:val="20"/>
          <w:lang w:val="cs-CZ"/>
        </w:rPr>
        <w:t>wirtschaftlich</w:t>
      </w:r>
      <w:proofErr w:type="spellEnd"/>
      <w:r>
        <w:rPr>
          <w:rFonts w:eastAsia="Calibri"/>
          <w:sz w:val="20"/>
          <w:lang w:val="cs-CZ"/>
        </w:rPr>
        <w:t xml:space="preserve">)  </w:t>
      </w:r>
    </w:p>
  </w:footnote>
  <w:footnote w:id="5">
    <w:p w:rsidR="001F1FBB" w:rsidRDefault="001F1FBB">
      <w:pPr>
        <w:pStyle w:val="Textpoznpodarou"/>
      </w:pPr>
      <w:r>
        <w:rPr>
          <w:rStyle w:val="Znakypropoznmkupodarou"/>
        </w:rPr>
        <w:footnoteRef/>
      </w:r>
      <w:r>
        <w:tab/>
        <w:t xml:space="preserve"> dýha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4FB"/>
    <w:rsid w:val="001F1FBB"/>
    <w:rsid w:val="003324FB"/>
    <w:rsid w:val="0066754B"/>
    <w:rsid w:val="00A0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9A662-58C8-4BA0-A7AE-3C2591A3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val="de-D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Priklad">
    <w:name w:val="Priklad"/>
    <w:basedOn w:val="Normln"/>
    <w:pPr>
      <w:numPr>
        <w:numId w:val="2"/>
      </w:numPr>
    </w:pPr>
    <w:rPr>
      <w:i/>
    </w:rPr>
  </w:style>
  <w:style w:type="paragraph" w:styleId="Citt">
    <w:name w:val="Quote"/>
    <w:basedOn w:val="Normln"/>
    <w:qFormat/>
    <w:pPr>
      <w:widowControl w:val="0"/>
      <w:shd w:val="clear" w:color="auto" w:fill="FFFFFF"/>
      <w:ind w:left="284" w:right="284"/>
    </w:pPr>
    <w:rPr>
      <w:i/>
      <w:color w:val="000000"/>
      <w:sz w:val="22"/>
    </w:rPr>
  </w:style>
  <w:style w:type="paragraph" w:customStyle="1" w:styleId="Citat">
    <w:name w:val="Citat"/>
    <w:basedOn w:val="Normln"/>
    <w:pPr>
      <w:widowControl w:val="0"/>
      <w:autoSpaceDE w:val="0"/>
      <w:ind w:left="567" w:right="284"/>
    </w:pPr>
  </w:style>
  <w:style w:type="paragraph" w:customStyle="1" w:styleId="citat0">
    <w:name w:val="citat"/>
    <w:basedOn w:val="Normln"/>
    <w:pPr>
      <w:ind w:left="567" w:right="567"/>
    </w:pPr>
    <w:rPr>
      <w:i/>
      <w:sz w:val="22"/>
      <w:lang w:val="cs-CZ"/>
    </w:rPr>
  </w:style>
  <w:style w:type="paragraph" w:styleId="Textpoznpodarou">
    <w:name w:val="footnote text"/>
    <w:basedOn w:val="Normln"/>
    <w:semiHidden/>
    <w:pPr>
      <w:spacing w:after="200" w:line="276" w:lineRule="auto"/>
    </w:pPr>
    <w:rPr>
      <w:rFonts w:eastAsia="Calibri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1848</Characters>
  <Application>Microsoft Office Word</Application>
  <DocSecurity>0</DocSecurity>
  <Lines>36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Manche Fremdwörter haben einen anderen Artikel als im Tschechischen: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 Fremdwörter haben einen anderen Artikel als im Tschechischen:</dc:title>
  <dc:subject/>
  <dc:creator>Zdenek Marecek</dc:creator>
  <cp:keywords/>
  <cp:lastModifiedBy>Zdeněk Mareček</cp:lastModifiedBy>
  <cp:revision>2</cp:revision>
  <cp:lastPrinted>1601-01-01T00:00:00Z</cp:lastPrinted>
  <dcterms:created xsi:type="dcterms:W3CDTF">2019-11-27T23:07:00Z</dcterms:created>
  <dcterms:modified xsi:type="dcterms:W3CDTF">2019-11-27T23:07:00Z</dcterms:modified>
</cp:coreProperties>
</file>