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C8" w:rsidRPr="00881F7B" w:rsidRDefault="00455CBC" w:rsidP="00A61524">
      <w:pPr>
        <w:pStyle w:val="Nadpis1"/>
        <w:rPr>
          <w:b/>
          <w:bCs/>
          <w:lang w:val="en-US"/>
        </w:rPr>
      </w:pPr>
      <w:r w:rsidRPr="00881F7B">
        <w:rPr>
          <w:b/>
          <w:bCs/>
          <w:lang w:val="en-US"/>
        </w:rPr>
        <w:t>Wittgenstein</w:t>
      </w:r>
      <w:r w:rsidR="00021F84" w:rsidRPr="00881F7B">
        <w:rPr>
          <w:b/>
          <w:bCs/>
          <w:lang w:val="en-US"/>
        </w:rPr>
        <w:t xml:space="preserve"> on religion and mysticism</w:t>
      </w:r>
    </w:p>
    <w:p w:rsidR="004921EE" w:rsidRPr="00881F7B" w:rsidRDefault="004921EE" w:rsidP="00A52A9E">
      <w:pPr>
        <w:pStyle w:val="Odstavecseseznamem"/>
        <w:numPr>
          <w:ilvl w:val="0"/>
          <w:numId w:val="8"/>
        </w:numPr>
        <w:tabs>
          <w:tab w:val="center" w:pos="4533"/>
        </w:tabs>
        <w:rPr>
          <w:lang w:val="en-US"/>
        </w:rPr>
      </w:pPr>
      <w:r w:rsidRPr="00881F7B">
        <w:rPr>
          <w:lang w:val="en-US"/>
        </w:rPr>
        <w:t xml:space="preserve">the key element in religion: </w:t>
      </w:r>
      <w:r w:rsidRPr="00881F7B">
        <w:rPr>
          <w:b/>
          <w:bCs/>
          <w:lang w:val="en-US"/>
        </w:rPr>
        <w:t>personal commitment</w:t>
      </w:r>
    </w:p>
    <w:p w:rsidR="00A52A9E" w:rsidRPr="00881F7B" w:rsidRDefault="00A52A9E" w:rsidP="00A52A9E">
      <w:pPr>
        <w:pStyle w:val="Odstavecseseznamem"/>
        <w:numPr>
          <w:ilvl w:val="0"/>
          <w:numId w:val="8"/>
        </w:numPr>
        <w:tabs>
          <w:tab w:val="center" w:pos="4533"/>
        </w:tabs>
        <w:rPr>
          <w:lang w:val="en-US"/>
        </w:rPr>
      </w:pPr>
      <w:r w:rsidRPr="00881F7B">
        <w:rPr>
          <w:lang w:val="en-US"/>
        </w:rPr>
        <w:t xml:space="preserve">cognitivists as well as non-cognitivists interpretations of religion (i.e. whether religious claims </w:t>
      </w:r>
      <w:r w:rsidR="00E96136" w:rsidRPr="00881F7B">
        <w:rPr>
          <w:lang w:val="en-US"/>
        </w:rPr>
        <w:t>pertain to</w:t>
      </w:r>
      <w:r w:rsidRPr="00881F7B">
        <w:rPr>
          <w:lang w:val="en-US"/>
        </w:rPr>
        <w:t xml:space="preserve"> truth-value).</w:t>
      </w:r>
    </w:p>
    <w:p w:rsidR="00B15AD6" w:rsidRPr="00881F7B" w:rsidRDefault="00A52A9E" w:rsidP="00A52A9E">
      <w:pPr>
        <w:pStyle w:val="Odstavecseseznamem"/>
        <w:numPr>
          <w:ilvl w:val="0"/>
          <w:numId w:val="8"/>
        </w:numPr>
        <w:tabs>
          <w:tab w:val="center" w:pos="4533"/>
        </w:tabs>
        <w:rPr>
          <w:lang w:val="en-US"/>
        </w:rPr>
      </w:pPr>
      <w:r w:rsidRPr="00881F7B">
        <w:rPr>
          <w:lang w:val="en-US"/>
        </w:rPr>
        <w:t>influence</w:t>
      </w:r>
      <w:r w:rsidR="00E96136" w:rsidRPr="00881F7B">
        <w:rPr>
          <w:lang w:val="en-US"/>
        </w:rPr>
        <w:t>d by</w:t>
      </w:r>
      <w:r w:rsidRPr="00881F7B">
        <w:rPr>
          <w:lang w:val="en-US"/>
        </w:rPr>
        <w:t xml:space="preserve">: Pascal, Schopenhauer, </w:t>
      </w:r>
      <w:r w:rsidRPr="00881F7B">
        <w:rPr>
          <w:b/>
          <w:bCs/>
          <w:lang w:val="en-US"/>
        </w:rPr>
        <w:t>Kierkegaard</w:t>
      </w:r>
      <w:r w:rsidRPr="00881F7B">
        <w:rPr>
          <w:lang w:val="en-US"/>
        </w:rPr>
        <w:t xml:space="preserve">, Nietzsche, </w:t>
      </w:r>
      <w:r w:rsidRPr="00881F7B">
        <w:rPr>
          <w:b/>
          <w:bCs/>
          <w:lang w:val="en-US"/>
        </w:rPr>
        <w:t>Tolstoy</w:t>
      </w:r>
    </w:p>
    <w:p w:rsidR="00021F84" w:rsidRPr="00881F7B" w:rsidRDefault="00A52A9E" w:rsidP="00A52A9E">
      <w:pPr>
        <w:pStyle w:val="Nadpis2"/>
        <w:rPr>
          <w:lang w:val="en-US"/>
        </w:rPr>
      </w:pPr>
      <w:r w:rsidRPr="00881F7B">
        <w:rPr>
          <w:lang w:val="en-US"/>
        </w:rPr>
        <w:t>The early Wittgenstein</w:t>
      </w:r>
    </w:p>
    <w:p w:rsidR="00A52A9E" w:rsidRPr="00881F7B" w:rsidRDefault="004921EE" w:rsidP="00A52A9E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>influence</w:t>
      </w:r>
      <w:r w:rsidR="00E96136" w:rsidRPr="00881F7B">
        <w:rPr>
          <w:lang w:val="en-US"/>
        </w:rPr>
        <w:t>d</w:t>
      </w:r>
      <w:r w:rsidRPr="00881F7B">
        <w:rPr>
          <w:lang w:val="en-US"/>
        </w:rPr>
        <w:t xml:space="preserve"> by personal experiences on the front in World War I</w:t>
      </w:r>
    </w:p>
    <w:p w:rsidR="004921EE" w:rsidRPr="00881F7B" w:rsidRDefault="00E96136" w:rsidP="00A52A9E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 xml:space="preserve">a (mystical) </w:t>
      </w:r>
      <w:r w:rsidR="004921EE" w:rsidRPr="00881F7B">
        <w:rPr>
          <w:lang w:val="en-US"/>
        </w:rPr>
        <w:t>experience of “losing oneself”</w:t>
      </w:r>
    </w:p>
    <w:p w:rsidR="004921EE" w:rsidRPr="00881F7B" w:rsidRDefault="00E96136" w:rsidP="00A52A9E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 xml:space="preserve">the mystical – </w:t>
      </w:r>
      <w:r w:rsidR="004921EE" w:rsidRPr="00881F7B">
        <w:rPr>
          <w:lang w:val="en-US"/>
        </w:rPr>
        <w:t>two godheads: the world and the subject/I</w:t>
      </w:r>
    </w:p>
    <w:p w:rsidR="004921EE" w:rsidRPr="00881F7B" w:rsidRDefault="004921EE" w:rsidP="004921EE">
      <w:pPr>
        <w:pStyle w:val="Odstavecseseznamem"/>
        <w:numPr>
          <w:ilvl w:val="1"/>
          <w:numId w:val="9"/>
        </w:numPr>
        <w:rPr>
          <w:lang w:val="en-US"/>
        </w:rPr>
      </w:pPr>
      <w:r w:rsidRPr="00881F7B">
        <w:rPr>
          <w:lang w:val="en-US"/>
        </w:rPr>
        <w:t>God as the meaning of life</w:t>
      </w:r>
    </w:p>
    <w:p w:rsidR="004921EE" w:rsidRPr="00881F7B" w:rsidRDefault="004921EE" w:rsidP="004921EE">
      <w:pPr>
        <w:pStyle w:val="Odstavecseseznamem"/>
        <w:numPr>
          <w:ilvl w:val="1"/>
          <w:numId w:val="9"/>
        </w:numPr>
        <w:rPr>
          <w:lang w:val="en-US"/>
        </w:rPr>
      </w:pPr>
      <w:r w:rsidRPr="00881F7B">
        <w:rPr>
          <w:lang w:val="en-US"/>
        </w:rPr>
        <w:t>God as how things are</w:t>
      </w:r>
    </w:p>
    <w:p w:rsidR="00021F84" w:rsidRPr="00881F7B" w:rsidRDefault="004B7DD4" w:rsidP="004B7DD4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>“</w:t>
      </w:r>
      <w:r w:rsidRPr="00881F7B">
        <w:rPr>
          <w:lang w:val="en-US"/>
        </w:rPr>
        <w:t xml:space="preserve">God does not reveal himself </w:t>
      </w:r>
      <w:r w:rsidRPr="00881F7B">
        <w:rPr>
          <w:i/>
          <w:iCs/>
          <w:lang w:val="en-US"/>
        </w:rPr>
        <w:t>in</w:t>
      </w:r>
      <w:r w:rsidRPr="00881F7B">
        <w:rPr>
          <w:lang w:val="en-US"/>
        </w:rPr>
        <w:t xml:space="preserve"> the world</w:t>
      </w:r>
      <w:r w:rsidR="005B3D59">
        <w:rPr>
          <w:lang w:val="en-US"/>
        </w:rPr>
        <w:t>.</w:t>
      </w:r>
      <w:r w:rsidRPr="00881F7B">
        <w:rPr>
          <w:lang w:val="en-US"/>
        </w:rPr>
        <w:t>”</w:t>
      </w:r>
      <w:r w:rsidRPr="00881F7B">
        <w:rPr>
          <w:lang w:val="en-US"/>
        </w:rPr>
        <w:t xml:space="preserve"> (TLP</w:t>
      </w:r>
      <w:r w:rsidRPr="00881F7B">
        <w:rPr>
          <w:lang w:val="en-US"/>
        </w:rPr>
        <w:t xml:space="preserve"> </w:t>
      </w:r>
      <w:r w:rsidRPr="00881F7B">
        <w:rPr>
          <w:lang w:val="en-US"/>
        </w:rPr>
        <w:t>6.432)</w:t>
      </w:r>
    </w:p>
    <w:p w:rsidR="00F06B85" w:rsidRPr="00881F7B" w:rsidRDefault="00F06B85" w:rsidP="004B7DD4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>Religious talk is an illuminating nonsense (on one reading).</w:t>
      </w:r>
    </w:p>
    <w:p w:rsidR="00F06B85" w:rsidRPr="00881F7B" w:rsidRDefault="00F06B85" w:rsidP="004B7DD4">
      <w:pPr>
        <w:pStyle w:val="Odstavecseseznamem"/>
        <w:numPr>
          <w:ilvl w:val="0"/>
          <w:numId w:val="9"/>
        </w:numPr>
        <w:rPr>
          <w:lang w:val="en-US"/>
        </w:rPr>
      </w:pPr>
      <w:r w:rsidRPr="00881F7B">
        <w:rPr>
          <w:lang w:val="en-US"/>
        </w:rPr>
        <w:t>Analogy: Kant’s limits of knowledge make room for faith, Wittgenstein’s limit of the expressions of thought makes room for ethics, religion, the mystical.</w:t>
      </w:r>
    </w:p>
    <w:p w:rsidR="004B7DD4" w:rsidRPr="00881F7B" w:rsidRDefault="004B7DD4" w:rsidP="004B7DD4">
      <w:pPr>
        <w:pStyle w:val="Nadpis2"/>
        <w:rPr>
          <w:lang w:val="en-US"/>
        </w:rPr>
      </w:pPr>
      <w:r w:rsidRPr="00881F7B">
        <w:rPr>
          <w:lang w:val="en-US"/>
        </w:rPr>
        <w:t>The later Wittgenstein</w:t>
      </w:r>
    </w:p>
    <w:p w:rsidR="00422CB7" w:rsidRPr="00881F7B" w:rsidRDefault="00422CB7" w:rsidP="004F46CA">
      <w:pPr>
        <w:pStyle w:val="Odstavecseseznamem"/>
        <w:numPr>
          <w:ilvl w:val="0"/>
          <w:numId w:val="10"/>
        </w:numPr>
        <w:rPr>
          <w:lang w:val="en-US"/>
        </w:rPr>
      </w:pPr>
      <w:proofErr w:type="spellStart"/>
      <w:r w:rsidRPr="00881F7B">
        <w:rPr>
          <w:lang w:val="en-US"/>
        </w:rPr>
        <w:t>fideist</w:t>
      </w:r>
      <w:r w:rsidR="00F06B85" w:rsidRPr="00881F7B">
        <w:rPr>
          <w:lang w:val="en-US"/>
        </w:rPr>
        <w:t>ic</w:t>
      </w:r>
      <w:proofErr w:type="spellEnd"/>
      <w:r w:rsidRPr="00881F7B">
        <w:rPr>
          <w:lang w:val="en-US"/>
        </w:rPr>
        <w:t xml:space="preserve"> inclinations: religion is complementary</w:t>
      </w:r>
      <w:r w:rsidR="0099489D" w:rsidRPr="00881F7B">
        <w:rPr>
          <w:lang w:val="en-US"/>
        </w:rPr>
        <w:t>/supplementary</w:t>
      </w:r>
      <w:r w:rsidRPr="00881F7B">
        <w:rPr>
          <w:lang w:val="en-US"/>
        </w:rPr>
        <w:t xml:space="preserve"> to reason, </w:t>
      </w:r>
      <w:r w:rsidR="00A641E0" w:rsidRPr="00881F7B">
        <w:rPr>
          <w:lang w:val="en-US"/>
        </w:rPr>
        <w:t>pre-rational (transcendental)</w:t>
      </w:r>
    </w:p>
    <w:p w:rsidR="00A641E0" w:rsidRPr="00881F7B" w:rsidRDefault="00A641E0" w:rsidP="00A641E0">
      <w:pPr>
        <w:pStyle w:val="Odstavecseseznamem"/>
        <w:numPr>
          <w:ilvl w:val="1"/>
          <w:numId w:val="10"/>
        </w:numPr>
        <w:rPr>
          <w:lang w:val="en-US"/>
        </w:rPr>
      </w:pPr>
      <w:r w:rsidRPr="00881F7B">
        <w:rPr>
          <w:lang w:val="en-US"/>
        </w:rPr>
        <w:t>Religion is not a proto-science or competing with science.</w:t>
      </w:r>
    </w:p>
    <w:p w:rsidR="00F06B85" w:rsidRPr="00881F7B" w:rsidRDefault="00F06B85" w:rsidP="00A641E0">
      <w:pPr>
        <w:pStyle w:val="Odstavecseseznamem"/>
        <w:numPr>
          <w:ilvl w:val="1"/>
          <w:numId w:val="10"/>
        </w:numPr>
        <w:rPr>
          <w:lang w:val="en-US"/>
        </w:rPr>
      </w:pPr>
      <w:r w:rsidRPr="00881F7B">
        <w:rPr>
          <w:lang w:val="en-US"/>
        </w:rPr>
        <w:t>God doesn’t need any proof of its existence. Religious claims aren’t in any need for rational justification.</w:t>
      </w:r>
    </w:p>
    <w:p w:rsidR="00931172" w:rsidRPr="00881F7B" w:rsidRDefault="00931172" w:rsidP="00A641E0">
      <w:pPr>
        <w:pStyle w:val="Odstavecseseznamem"/>
        <w:numPr>
          <w:ilvl w:val="1"/>
          <w:numId w:val="10"/>
        </w:numPr>
        <w:rPr>
          <w:lang w:val="en-US"/>
        </w:rPr>
      </w:pPr>
      <w:r w:rsidRPr="00881F7B">
        <w:rPr>
          <w:lang w:val="en-US"/>
        </w:rPr>
        <w:t>Religion is about subjective commitment, opening one’s heart</w:t>
      </w:r>
      <w:r w:rsidR="003103DC" w:rsidRPr="00881F7B">
        <w:rPr>
          <w:lang w:val="en-US"/>
        </w:rPr>
        <w:t>.</w:t>
      </w:r>
    </w:p>
    <w:p w:rsidR="00F06B85" w:rsidRPr="00881F7B" w:rsidRDefault="00F06B85" w:rsidP="00F06B85">
      <w:pPr>
        <w:pStyle w:val="Odstavecseseznamem"/>
        <w:numPr>
          <w:ilvl w:val="0"/>
          <w:numId w:val="10"/>
        </w:numPr>
        <w:rPr>
          <w:lang w:val="en-US"/>
        </w:rPr>
      </w:pPr>
      <w:r w:rsidRPr="00881F7B">
        <w:rPr>
          <w:lang w:val="en-US"/>
        </w:rPr>
        <w:t xml:space="preserve">Religion is </w:t>
      </w:r>
      <w:r w:rsidRPr="00881F7B">
        <w:rPr>
          <w:b/>
          <w:bCs/>
          <w:lang w:val="en-US"/>
        </w:rPr>
        <w:t>not</w:t>
      </w:r>
      <w:r w:rsidRPr="00881F7B">
        <w:rPr>
          <w:lang w:val="en-US"/>
        </w:rPr>
        <w:t xml:space="preserve"> a </w:t>
      </w:r>
      <w:r w:rsidR="00931172" w:rsidRPr="00881F7B">
        <w:rPr>
          <w:lang w:val="en-US"/>
        </w:rPr>
        <w:t xml:space="preserve">(primitive/infantile) </w:t>
      </w:r>
      <w:r w:rsidRPr="00881F7B">
        <w:rPr>
          <w:lang w:val="en-US"/>
        </w:rPr>
        <w:t>response to hopes and fears (Hume)</w:t>
      </w:r>
      <w:r w:rsidR="0099489D" w:rsidRPr="00881F7B">
        <w:rPr>
          <w:lang w:val="en-US"/>
        </w:rPr>
        <w:t xml:space="preserve"> or</w:t>
      </w:r>
      <w:r w:rsidRPr="00881F7B">
        <w:rPr>
          <w:lang w:val="en-US"/>
        </w:rPr>
        <w:t xml:space="preserve"> to our helplessness and the need for protection (Freud).</w:t>
      </w:r>
    </w:p>
    <w:p w:rsidR="0099489D" w:rsidRPr="00881F7B" w:rsidRDefault="0099489D" w:rsidP="00F06B85">
      <w:pPr>
        <w:pStyle w:val="Odstavecseseznamem"/>
        <w:numPr>
          <w:ilvl w:val="0"/>
          <w:numId w:val="10"/>
        </w:numPr>
        <w:rPr>
          <w:lang w:val="en-US"/>
        </w:rPr>
      </w:pPr>
      <w:r w:rsidRPr="00881F7B">
        <w:rPr>
          <w:lang w:val="en-US"/>
        </w:rPr>
        <w:t>Religion is an activity/praxis/language-game/form of life.</w:t>
      </w:r>
    </w:p>
    <w:p w:rsidR="0099489D" w:rsidRPr="00881F7B" w:rsidRDefault="0099489D" w:rsidP="0099489D">
      <w:pPr>
        <w:pStyle w:val="Odstavecseseznamem"/>
        <w:numPr>
          <w:ilvl w:val="1"/>
          <w:numId w:val="10"/>
        </w:numPr>
        <w:rPr>
          <w:lang w:val="en-US"/>
        </w:rPr>
      </w:pPr>
      <w:r w:rsidRPr="00881F7B">
        <w:rPr>
          <w:lang w:val="en-US"/>
        </w:rPr>
        <w:t xml:space="preserve">E.g. </w:t>
      </w:r>
      <w:r w:rsidR="005C0B9E" w:rsidRPr="00881F7B">
        <w:rPr>
          <w:lang w:val="en-US"/>
        </w:rPr>
        <w:t xml:space="preserve">a </w:t>
      </w:r>
      <w:r w:rsidRPr="00881F7B">
        <w:rPr>
          <w:lang w:val="en-US"/>
        </w:rPr>
        <w:t xml:space="preserve">praxis of liturgy, </w:t>
      </w:r>
      <w:r w:rsidR="005C0B9E" w:rsidRPr="00881F7B">
        <w:rPr>
          <w:lang w:val="en-US"/>
        </w:rPr>
        <w:t xml:space="preserve">a </w:t>
      </w:r>
      <w:r w:rsidRPr="00881F7B">
        <w:rPr>
          <w:lang w:val="en-US"/>
        </w:rPr>
        <w:t>language-game of praying</w:t>
      </w:r>
      <w:r w:rsidR="005C0B9E" w:rsidRPr="00881F7B">
        <w:rPr>
          <w:lang w:val="en-US"/>
        </w:rPr>
        <w:t>, a form of life of a monk</w:t>
      </w:r>
      <w:r w:rsidR="003103DC" w:rsidRPr="00881F7B">
        <w:rPr>
          <w:lang w:val="en-US"/>
        </w:rPr>
        <w:t>…</w:t>
      </w:r>
    </w:p>
    <w:p w:rsidR="004B7DD4" w:rsidRPr="00881F7B" w:rsidRDefault="004F46CA" w:rsidP="004F46CA">
      <w:pPr>
        <w:pStyle w:val="Odstavecseseznamem"/>
        <w:numPr>
          <w:ilvl w:val="0"/>
          <w:numId w:val="10"/>
        </w:numPr>
        <w:rPr>
          <w:lang w:val="en-US"/>
        </w:rPr>
      </w:pPr>
      <w:r w:rsidRPr="00881F7B">
        <w:rPr>
          <w:lang w:val="en-US"/>
        </w:rPr>
        <w:t xml:space="preserve">Religious language is a kind of </w:t>
      </w:r>
      <w:r w:rsidRPr="00881F7B">
        <w:rPr>
          <w:b/>
          <w:bCs/>
          <w:lang w:val="en-US"/>
        </w:rPr>
        <w:t>grammar</w:t>
      </w:r>
      <w:r w:rsidRPr="00881F7B">
        <w:rPr>
          <w:lang w:val="en-US"/>
        </w:rPr>
        <w:t>, a system of reference, a framework.</w:t>
      </w:r>
      <w:r w:rsidR="00A641E0" w:rsidRPr="00881F7B">
        <w:rPr>
          <w:lang w:val="en-US"/>
        </w:rPr>
        <w:t xml:space="preserve"> (“Theology as grammar” PI 373)</w:t>
      </w:r>
    </w:p>
    <w:p w:rsidR="00A641E0" w:rsidRPr="00881F7B" w:rsidRDefault="00A641E0" w:rsidP="00A641E0">
      <w:pPr>
        <w:pStyle w:val="Odstavecseseznamem"/>
        <w:numPr>
          <w:ilvl w:val="0"/>
          <w:numId w:val="10"/>
        </w:numPr>
        <w:rPr>
          <w:lang w:val="en-US"/>
        </w:rPr>
      </w:pPr>
      <w:r w:rsidRPr="00881F7B">
        <w:rPr>
          <w:lang w:val="en-US"/>
        </w:rPr>
        <w:t>“</w:t>
      </w:r>
      <w:r w:rsidRPr="00A641E0">
        <w:rPr>
          <w:lang w:val="en-US"/>
        </w:rPr>
        <w:t xml:space="preserve">I am not a religious </w:t>
      </w:r>
      <w:proofErr w:type="gramStart"/>
      <w:r w:rsidRPr="00A641E0">
        <w:rPr>
          <w:lang w:val="en-US"/>
        </w:rPr>
        <w:t>man</w:t>
      </w:r>
      <w:proofErr w:type="gramEnd"/>
      <w:r w:rsidRPr="00A641E0">
        <w:rPr>
          <w:lang w:val="en-US"/>
        </w:rPr>
        <w:t xml:space="preserve"> but I</w:t>
      </w:r>
      <w:r w:rsidRPr="00881F7B">
        <w:rPr>
          <w:lang w:val="en-US"/>
        </w:rPr>
        <w:t xml:space="preserve"> </w:t>
      </w:r>
      <w:r w:rsidRPr="00881F7B">
        <w:rPr>
          <w:lang w:val="en-US"/>
        </w:rPr>
        <w:t xml:space="preserve">cannot help seeing </w:t>
      </w:r>
      <w:r w:rsidRPr="00881F7B">
        <w:rPr>
          <w:lang w:val="en-US"/>
        </w:rPr>
        <w:t>‘</w:t>
      </w:r>
      <w:r w:rsidRPr="00881F7B">
        <w:rPr>
          <w:lang w:val="en-US"/>
        </w:rPr>
        <w:t>every problem from a religious point of view</w:t>
      </w:r>
      <w:r w:rsidRPr="00881F7B">
        <w:rPr>
          <w:lang w:val="en-US"/>
        </w:rPr>
        <w:t>.’”</w:t>
      </w:r>
    </w:p>
    <w:p w:rsidR="00A641E0" w:rsidRPr="00881F7B" w:rsidRDefault="00A641E0" w:rsidP="00A641E0">
      <w:pPr>
        <w:pStyle w:val="Nadpis3"/>
        <w:rPr>
          <w:lang w:val="en-US"/>
        </w:rPr>
      </w:pPr>
      <w:r w:rsidRPr="00881F7B">
        <w:rPr>
          <w:lang w:val="en-US"/>
        </w:rPr>
        <w:t>A case for non-cognitivism</w:t>
      </w:r>
    </w:p>
    <w:p w:rsidR="00A641E0" w:rsidRPr="00881F7B" w:rsidRDefault="00931172" w:rsidP="00A641E0">
      <w:pPr>
        <w:pStyle w:val="Odstavecseseznamem"/>
        <w:numPr>
          <w:ilvl w:val="0"/>
          <w:numId w:val="11"/>
        </w:numPr>
        <w:rPr>
          <w:lang w:val="en-US"/>
        </w:rPr>
      </w:pPr>
      <w:r w:rsidRPr="00881F7B">
        <w:rPr>
          <w:lang w:val="en-US"/>
        </w:rPr>
        <w:t>Religious statements don’t describe any kind of empirical or transcendent reality.</w:t>
      </w:r>
    </w:p>
    <w:p w:rsidR="00931172" w:rsidRPr="00881F7B" w:rsidRDefault="00931172" w:rsidP="00931172">
      <w:pPr>
        <w:pStyle w:val="Odstavecseseznamem"/>
        <w:numPr>
          <w:ilvl w:val="0"/>
          <w:numId w:val="11"/>
        </w:numPr>
        <w:rPr>
          <w:lang w:val="en-US"/>
        </w:rPr>
      </w:pPr>
      <w:r w:rsidRPr="00881F7B">
        <w:rPr>
          <w:lang w:val="en-US"/>
        </w:rPr>
        <w:t xml:space="preserve">Any attempt to justify religion by evidence counts as </w:t>
      </w:r>
      <w:r w:rsidRPr="00881F7B">
        <w:rPr>
          <w:b/>
          <w:bCs/>
          <w:lang w:val="en-US"/>
        </w:rPr>
        <w:t>superstition</w:t>
      </w:r>
      <w:r w:rsidRPr="00881F7B">
        <w:rPr>
          <w:lang w:val="en-US"/>
        </w:rPr>
        <w:t>.</w:t>
      </w:r>
    </w:p>
    <w:p w:rsidR="000252D3" w:rsidRPr="00881F7B" w:rsidRDefault="00C2377C" w:rsidP="00931172">
      <w:pPr>
        <w:pStyle w:val="Odstavecseseznamem"/>
        <w:numPr>
          <w:ilvl w:val="0"/>
          <w:numId w:val="11"/>
        </w:numPr>
        <w:rPr>
          <w:lang w:val="en-US"/>
        </w:rPr>
      </w:pPr>
      <w:r w:rsidRPr="00881F7B">
        <w:rPr>
          <w:lang w:val="en-US"/>
        </w:rPr>
        <w:t>Our attitude towards historical religious texts is (akin) to our attitude towards fiction. The point of religious talk is to present neither historical factual truths, nor truths of reason.</w:t>
      </w:r>
    </w:p>
    <w:p w:rsidR="0099489D" w:rsidRPr="00881F7B" w:rsidRDefault="0099489D" w:rsidP="0099489D">
      <w:pPr>
        <w:pStyle w:val="Nadpis3"/>
        <w:rPr>
          <w:lang w:val="en-US"/>
        </w:rPr>
      </w:pPr>
      <w:r w:rsidRPr="00881F7B">
        <w:rPr>
          <w:lang w:val="en-US"/>
        </w:rPr>
        <w:t>A case for cognitivism</w:t>
      </w:r>
    </w:p>
    <w:p w:rsidR="004B7DD4" w:rsidRPr="00881F7B" w:rsidRDefault="00931172" w:rsidP="00931172">
      <w:pPr>
        <w:pStyle w:val="Odstavecseseznamem"/>
        <w:numPr>
          <w:ilvl w:val="0"/>
          <w:numId w:val="11"/>
        </w:numPr>
        <w:rPr>
          <w:lang w:val="en-US"/>
        </w:rPr>
      </w:pPr>
      <w:r w:rsidRPr="00881F7B">
        <w:rPr>
          <w:lang w:val="en-US"/>
        </w:rPr>
        <w:t>Religious language as grammar has factual presuppositions and factual implications.</w:t>
      </w:r>
    </w:p>
    <w:p w:rsidR="00931172" w:rsidRPr="00881F7B" w:rsidRDefault="00931172" w:rsidP="00881F7B">
      <w:pPr>
        <w:pStyle w:val="Odstavecseseznamem"/>
        <w:numPr>
          <w:ilvl w:val="0"/>
          <w:numId w:val="11"/>
        </w:numPr>
        <w:rPr>
          <w:lang w:val="en-US"/>
        </w:rPr>
      </w:pPr>
      <w:r w:rsidRPr="00881F7B">
        <w:rPr>
          <w:lang w:val="en-US"/>
        </w:rPr>
        <w:t xml:space="preserve">The view that God isn’t an entity </w:t>
      </w:r>
      <w:r w:rsidR="00B378A1" w:rsidRPr="00881F7B">
        <w:rPr>
          <w:lang w:val="en-US"/>
        </w:rPr>
        <w:t>alongside other entities in the world is in conformity with traditional religious cognitivism (e.g. in Aquinas).</w:t>
      </w:r>
      <w:r w:rsidR="00881F7B" w:rsidRPr="00881F7B">
        <w:rPr>
          <w:lang w:val="en-US"/>
        </w:rPr>
        <w:t xml:space="preserve"> “</w:t>
      </w:r>
      <w:r w:rsidR="00881F7B" w:rsidRPr="00881F7B">
        <w:rPr>
          <w:lang w:val="en-US"/>
        </w:rPr>
        <w:t>God</w:t>
      </w:r>
      <w:r w:rsidR="005B3D59">
        <w:rPr>
          <w:lang w:val="en-US"/>
        </w:rPr>
        <w:t>’</w:t>
      </w:r>
      <w:r w:rsidR="00881F7B" w:rsidRPr="00881F7B">
        <w:rPr>
          <w:lang w:val="en-US"/>
        </w:rPr>
        <w:t>s essence is said to guarantee his existence</w:t>
      </w:r>
      <w:r w:rsidR="00881F7B">
        <w:rPr>
          <w:lang w:val="en-US"/>
        </w:rPr>
        <w:t>—</w:t>
      </w:r>
      <w:r w:rsidR="00881F7B" w:rsidRPr="00881F7B">
        <w:rPr>
          <w:lang w:val="en-US"/>
        </w:rPr>
        <w:t>what this really means is that here what is at issue is not th</w:t>
      </w:r>
      <w:r w:rsidR="00881F7B">
        <w:rPr>
          <w:lang w:val="en-US"/>
        </w:rPr>
        <w:t xml:space="preserve">e </w:t>
      </w:r>
      <w:r w:rsidR="00881F7B" w:rsidRPr="00881F7B">
        <w:rPr>
          <w:lang w:val="en-US"/>
        </w:rPr>
        <w:t>existence of something.</w:t>
      </w:r>
      <w:r w:rsidR="00881F7B" w:rsidRPr="00881F7B">
        <w:rPr>
          <w:lang w:val="en-US"/>
        </w:rPr>
        <w:t>”</w:t>
      </w:r>
    </w:p>
    <w:p w:rsidR="00931172" w:rsidRPr="00881F7B" w:rsidRDefault="002206AF" w:rsidP="002206AF">
      <w:pPr>
        <w:pStyle w:val="Nadpis3"/>
        <w:rPr>
          <w:lang w:val="en-US"/>
        </w:rPr>
      </w:pPr>
      <w:r w:rsidRPr="00881F7B">
        <w:rPr>
          <w:lang w:val="en-US"/>
        </w:rPr>
        <w:lastRenderedPageBreak/>
        <w:t>Selected quotations</w:t>
      </w:r>
    </w:p>
    <w:p w:rsidR="002206AF" w:rsidRPr="00881F7B" w:rsidRDefault="002206AF" w:rsidP="002206AF">
      <w:pPr>
        <w:pStyle w:val="Odstavecseseznamem"/>
        <w:numPr>
          <w:ilvl w:val="0"/>
          <w:numId w:val="13"/>
        </w:numPr>
        <w:rPr>
          <w:lang w:val="en-US"/>
        </w:rPr>
      </w:pPr>
      <w:r w:rsidRPr="00881F7B">
        <w:rPr>
          <w:lang w:val="en-US"/>
        </w:rPr>
        <w:t>What is Good is Divine too. That, strangely enough, sums up my ethics.</w:t>
      </w:r>
      <w:r w:rsidRPr="00881F7B">
        <w:rPr>
          <w:lang w:val="en-US"/>
        </w:rPr>
        <w:t xml:space="preserve"> CV 5</w:t>
      </w:r>
    </w:p>
    <w:p w:rsidR="002206AF" w:rsidRPr="00881F7B" w:rsidRDefault="002206AF" w:rsidP="002206AF">
      <w:pPr>
        <w:pStyle w:val="Odstavecseseznamem"/>
        <w:numPr>
          <w:ilvl w:val="0"/>
          <w:numId w:val="13"/>
        </w:numPr>
        <w:rPr>
          <w:lang w:val="en-US"/>
        </w:rPr>
      </w:pPr>
      <w:r w:rsidRPr="00881F7B">
        <w:rPr>
          <w:lang w:val="en-US"/>
        </w:rPr>
        <w:t>Only something supernatural can express the Supernatural.</w:t>
      </w:r>
      <w:r w:rsidRPr="00881F7B">
        <w:rPr>
          <w:lang w:val="en-US"/>
        </w:rPr>
        <w:t xml:space="preserve"> CV 5</w:t>
      </w:r>
    </w:p>
    <w:p w:rsidR="002206AF" w:rsidRPr="00881F7B" w:rsidRDefault="00CF3CA4" w:rsidP="00CF3CA4">
      <w:pPr>
        <w:pStyle w:val="Odstavecseseznamem"/>
        <w:numPr>
          <w:ilvl w:val="0"/>
          <w:numId w:val="13"/>
        </w:numPr>
        <w:rPr>
          <w:lang w:val="en-US"/>
        </w:rPr>
      </w:pPr>
      <w:r w:rsidRPr="00CF3CA4">
        <w:rPr>
          <w:lang w:val="en-US"/>
        </w:rPr>
        <w:t>How should we feel if we had never heard of Christ?</w:t>
      </w:r>
      <w:r w:rsidRPr="00881F7B">
        <w:rPr>
          <w:lang w:val="en-US"/>
        </w:rPr>
        <w:br/>
      </w:r>
      <w:r w:rsidRPr="00881F7B">
        <w:rPr>
          <w:lang w:val="en-US"/>
        </w:rPr>
        <w:t>Should we feel left alone in the dark?</w:t>
      </w:r>
      <w:r w:rsidRPr="00881F7B">
        <w:rPr>
          <w:lang w:val="en-US"/>
        </w:rPr>
        <w:br/>
      </w:r>
      <w:r w:rsidRPr="00881F7B">
        <w:rPr>
          <w:lang w:val="en-US"/>
        </w:rPr>
        <w:t>Do we not feel like that only in the way a child doesn</w:t>
      </w:r>
      <w:r w:rsidR="001331E2">
        <w:rPr>
          <w:lang w:val="en-US"/>
        </w:rPr>
        <w:t>’</w:t>
      </w:r>
      <w:r w:rsidRPr="00881F7B">
        <w:rPr>
          <w:lang w:val="en-US"/>
        </w:rPr>
        <w:t>t when he knows there is someone in the room with</w:t>
      </w:r>
      <w:r w:rsidRPr="00881F7B">
        <w:rPr>
          <w:lang w:val="en-US"/>
        </w:rPr>
        <w:t xml:space="preserve"> </w:t>
      </w:r>
      <w:r w:rsidRPr="00881F7B">
        <w:rPr>
          <w:lang w:val="en-US"/>
        </w:rPr>
        <w:t>him?</w:t>
      </w:r>
      <w:r w:rsidRPr="00881F7B">
        <w:rPr>
          <w:lang w:val="en-US"/>
        </w:rPr>
        <w:br/>
      </w:r>
      <w:r w:rsidRPr="00881F7B">
        <w:rPr>
          <w:lang w:val="en-US"/>
        </w:rPr>
        <w:t>Religious madness is madness springing from irreligiousness.</w:t>
      </w:r>
      <w:r w:rsidRPr="00881F7B">
        <w:rPr>
          <w:lang w:val="en-US"/>
        </w:rPr>
        <w:t xml:space="preserve"> CV 15</w:t>
      </w:r>
    </w:p>
    <w:p w:rsidR="00CF3CA4" w:rsidRPr="00881F7B" w:rsidRDefault="00CF3CA4" w:rsidP="000252D3">
      <w:pPr>
        <w:pStyle w:val="Odstavecseseznamem"/>
        <w:numPr>
          <w:ilvl w:val="0"/>
          <w:numId w:val="13"/>
        </w:numPr>
        <w:rPr>
          <w:lang w:val="en-US"/>
        </w:rPr>
      </w:pPr>
      <w:r w:rsidRPr="00CF3CA4">
        <w:rPr>
          <w:lang w:val="en-US"/>
        </w:rPr>
        <w:t>Religion says: Do this!</w:t>
      </w:r>
      <w:r w:rsidR="000252D3" w:rsidRPr="00881F7B">
        <w:rPr>
          <w:lang w:val="en-US"/>
        </w:rPr>
        <w:t>–</w:t>
      </w:r>
      <w:r w:rsidRPr="00CF3CA4">
        <w:rPr>
          <w:lang w:val="en-US"/>
        </w:rPr>
        <w:t>Think like that! but it cannot justify this and it only need try to do so to become</w:t>
      </w:r>
      <w:r w:rsidRPr="00881F7B">
        <w:rPr>
          <w:lang w:val="en-US"/>
        </w:rPr>
        <w:t xml:space="preserve"> </w:t>
      </w:r>
      <w:r w:rsidRPr="00881F7B">
        <w:rPr>
          <w:lang w:val="en-US"/>
        </w:rPr>
        <w:t>repugnant; since for every reason it gives, there is a cogent counter-reason.</w:t>
      </w:r>
      <w:r w:rsidR="000252D3" w:rsidRPr="00881F7B">
        <w:rPr>
          <w:lang w:val="en-US"/>
        </w:rPr>
        <w:br/>
      </w:r>
      <w:r w:rsidRPr="00881F7B">
        <w:rPr>
          <w:lang w:val="en-US"/>
        </w:rPr>
        <w:t xml:space="preserve">It is more convincing to say: </w:t>
      </w:r>
      <w:r w:rsidR="001331E2">
        <w:rPr>
          <w:lang w:val="en-US"/>
        </w:rPr>
        <w:t>“</w:t>
      </w:r>
      <w:r w:rsidRPr="00881F7B">
        <w:rPr>
          <w:lang w:val="en-US"/>
        </w:rPr>
        <w:t>Think like this!</w:t>
      </w:r>
      <w:r w:rsidR="000252D3" w:rsidRPr="00881F7B">
        <w:rPr>
          <w:lang w:val="en-US"/>
        </w:rPr>
        <w:t>–</w:t>
      </w:r>
      <w:r w:rsidRPr="00881F7B">
        <w:rPr>
          <w:lang w:val="en-US"/>
        </w:rPr>
        <w:t>however strange it may seem.</w:t>
      </w:r>
      <w:r w:rsidR="000252D3" w:rsidRPr="00881F7B">
        <w:rPr>
          <w:lang w:val="en-US"/>
        </w:rPr>
        <w:t>–</w:t>
      </w:r>
      <w:r w:rsidR="001331E2">
        <w:rPr>
          <w:lang w:val="en-US"/>
        </w:rPr>
        <w:t>”</w:t>
      </w:r>
      <w:r w:rsidRPr="00881F7B">
        <w:rPr>
          <w:lang w:val="en-US"/>
        </w:rPr>
        <w:t xml:space="preserve"> Or: </w:t>
      </w:r>
      <w:r w:rsidR="001331E2">
        <w:rPr>
          <w:lang w:val="en-US"/>
        </w:rPr>
        <w:t>“</w:t>
      </w:r>
      <w:r w:rsidRPr="00881F7B">
        <w:rPr>
          <w:lang w:val="en-US"/>
        </w:rPr>
        <w:t>Won</w:t>
      </w:r>
      <w:r w:rsidR="001331E2">
        <w:rPr>
          <w:lang w:val="en-US"/>
        </w:rPr>
        <w:t>’</w:t>
      </w:r>
      <w:r w:rsidRPr="00881F7B">
        <w:rPr>
          <w:lang w:val="en-US"/>
        </w:rPr>
        <w:t>t you do</w:t>
      </w:r>
      <w:r w:rsidR="000252D3" w:rsidRPr="00881F7B">
        <w:rPr>
          <w:lang w:val="en-US"/>
        </w:rPr>
        <w:t xml:space="preserve"> </w:t>
      </w:r>
      <w:r w:rsidRPr="00881F7B">
        <w:rPr>
          <w:lang w:val="en-US"/>
        </w:rPr>
        <w:t>this?</w:t>
      </w:r>
      <w:r w:rsidR="001331E2">
        <w:rPr>
          <w:lang w:val="en-US"/>
        </w:rPr>
        <w:t>–</w:t>
      </w:r>
      <w:r w:rsidRPr="00881F7B">
        <w:rPr>
          <w:lang w:val="en-US"/>
        </w:rPr>
        <w:t>repugnant as it is.</w:t>
      </w:r>
      <w:r w:rsidR="000252D3" w:rsidRPr="00881F7B">
        <w:rPr>
          <w:lang w:val="en-US"/>
        </w:rPr>
        <w:t>–</w:t>
      </w:r>
      <w:r w:rsidR="001331E2">
        <w:rPr>
          <w:lang w:val="en-US"/>
        </w:rPr>
        <w:t>”</w:t>
      </w:r>
      <w:r w:rsidR="000252D3" w:rsidRPr="00881F7B">
        <w:rPr>
          <w:lang w:val="en-US"/>
        </w:rPr>
        <w:t xml:space="preserve"> CV 34</w:t>
      </w:r>
    </w:p>
    <w:p w:rsidR="000252D3" w:rsidRPr="001331E2" w:rsidRDefault="000252D3" w:rsidP="001331E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i/>
          <w:iCs/>
          <w:lang w:val="en-US" w:eastAsia="en-US"/>
        </w:rPr>
      </w:pPr>
      <w:r w:rsidRPr="00881F7B">
        <w:rPr>
          <w:rFonts w:eastAsiaTheme="minorHAnsi"/>
          <w:lang w:val="en-US" w:eastAsia="en-US"/>
        </w:rPr>
        <w:t xml:space="preserve">Christianity is not based on a historical </w:t>
      </w:r>
      <w:proofErr w:type="gramStart"/>
      <w:r w:rsidRPr="00881F7B">
        <w:rPr>
          <w:rFonts w:eastAsiaTheme="minorHAnsi"/>
          <w:lang w:val="en-US" w:eastAsia="en-US"/>
        </w:rPr>
        <w:t>truth, but</w:t>
      </w:r>
      <w:proofErr w:type="gramEnd"/>
      <w:r w:rsidRPr="00881F7B">
        <w:rPr>
          <w:rFonts w:eastAsiaTheme="minorHAnsi"/>
          <w:lang w:val="en-US" w:eastAsia="en-US"/>
        </w:rPr>
        <w:t xml:space="preserve"> presents us with a (historical) narrative &amp; says: now believe! But</w:t>
      </w:r>
      <w:r w:rsidRPr="00881F7B">
        <w:rPr>
          <w:rFonts w:eastAsiaTheme="minorHAnsi"/>
          <w:lang w:val="en-US" w:eastAsia="en-US"/>
        </w:rPr>
        <w:t xml:space="preserve"> </w:t>
      </w:r>
      <w:r w:rsidRPr="00881F7B">
        <w:rPr>
          <w:rFonts w:eastAsiaTheme="minorHAnsi"/>
          <w:lang w:val="en-US" w:eastAsia="en-US"/>
        </w:rPr>
        <w:t xml:space="preserve">not believe this report with the belief that is appropriate to a historical </w:t>
      </w:r>
      <w:proofErr w:type="gramStart"/>
      <w:r w:rsidRPr="00881F7B">
        <w:rPr>
          <w:rFonts w:eastAsiaTheme="minorHAnsi"/>
          <w:lang w:val="en-US" w:eastAsia="en-US"/>
        </w:rPr>
        <w:t>report,</w:t>
      </w:r>
      <w:r w:rsidRPr="00881F7B">
        <w:rPr>
          <w:rFonts w:eastAsiaTheme="minorHAnsi"/>
          <w:lang w:val="en-US" w:eastAsia="en-US"/>
        </w:rPr>
        <w:t>–</w:t>
      </w:r>
      <w:proofErr w:type="gramEnd"/>
      <w:r w:rsidRPr="00881F7B">
        <w:rPr>
          <w:rFonts w:eastAsiaTheme="minorHAnsi"/>
          <w:lang w:val="en-US" w:eastAsia="en-US"/>
        </w:rPr>
        <w:t>but rather: believe, through thick &amp;</w:t>
      </w:r>
      <w:r w:rsidRPr="00881F7B">
        <w:rPr>
          <w:rFonts w:eastAsiaTheme="minorHAnsi"/>
          <w:lang w:val="en-US" w:eastAsia="en-US"/>
        </w:rPr>
        <w:t xml:space="preserve"> </w:t>
      </w:r>
      <w:r w:rsidRPr="00881F7B">
        <w:rPr>
          <w:rFonts w:eastAsiaTheme="minorHAnsi"/>
          <w:lang w:val="en-US" w:eastAsia="en-US"/>
        </w:rPr>
        <w:t xml:space="preserve">thin &amp; you can do this only as the outcome of a life. </w:t>
      </w:r>
      <w:r w:rsidRPr="00881F7B">
        <w:rPr>
          <w:rFonts w:eastAsiaTheme="minorHAnsi"/>
          <w:i/>
          <w:iCs/>
          <w:lang w:val="en-US" w:eastAsia="en-US"/>
        </w:rPr>
        <w:t xml:space="preserve">Here you have a </w:t>
      </w:r>
      <w:proofErr w:type="gramStart"/>
      <w:r w:rsidRPr="00881F7B">
        <w:rPr>
          <w:rFonts w:eastAsiaTheme="minorHAnsi"/>
          <w:i/>
          <w:iCs/>
          <w:lang w:val="en-US" w:eastAsia="en-US"/>
        </w:rPr>
        <w:t>message!</w:t>
      </w:r>
      <w:r w:rsidRPr="00881F7B">
        <w:rPr>
          <w:rFonts w:eastAsiaTheme="minorHAnsi"/>
          <w:i/>
          <w:iCs/>
          <w:lang w:val="en-US" w:eastAsia="en-US"/>
        </w:rPr>
        <w:t>–</w:t>
      </w:r>
      <w:proofErr w:type="gramEnd"/>
      <w:r w:rsidRPr="00881F7B">
        <w:rPr>
          <w:rFonts w:eastAsiaTheme="minorHAnsi"/>
          <w:i/>
          <w:iCs/>
          <w:lang w:val="en-US" w:eastAsia="en-US"/>
        </w:rPr>
        <w:t>don</w:t>
      </w:r>
      <w:r w:rsidR="001331E2">
        <w:rPr>
          <w:rFonts w:eastAsiaTheme="minorHAnsi"/>
          <w:i/>
          <w:iCs/>
          <w:lang w:val="en-US" w:eastAsia="en-US"/>
        </w:rPr>
        <w:t>’</w:t>
      </w:r>
      <w:r w:rsidRPr="001331E2">
        <w:rPr>
          <w:rFonts w:eastAsiaTheme="minorHAnsi"/>
          <w:i/>
          <w:iCs/>
          <w:lang w:val="en-US" w:eastAsia="en-US"/>
        </w:rPr>
        <w:t>t treat it as you would another</w:t>
      </w:r>
      <w:r w:rsidRPr="001331E2">
        <w:rPr>
          <w:rFonts w:eastAsiaTheme="minorHAnsi"/>
          <w:i/>
          <w:iCs/>
          <w:lang w:val="en-US" w:eastAsia="en-US"/>
        </w:rPr>
        <w:t xml:space="preserve"> </w:t>
      </w:r>
      <w:r w:rsidRPr="001331E2">
        <w:rPr>
          <w:rFonts w:eastAsiaTheme="minorHAnsi"/>
          <w:i/>
          <w:iCs/>
          <w:lang w:val="en-US" w:eastAsia="en-US"/>
        </w:rPr>
        <w:t>historical message!</w:t>
      </w:r>
      <w:r w:rsidRPr="001331E2">
        <w:rPr>
          <w:rFonts w:eastAsiaTheme="minorHAnsi"/>
          <w:lang w:val="en-US" w:eastAsia="en-US"/>
        </w:rPr>
        <w:t xml:space="preserve"> Make a </w:t>
      </w:r>
      <w:r w:rsidRPr="001331E2">
        <w:rPr>
          <w:rFonts w:eastAsiaTheme="minorHAnsi"/>
          <w:i/>
          <w:iCs/>
          <w:lang w:val="en-US" w:eastAsia="en-US"/>
        </w:rPr>
        <w:t>quite different</w:t>
      </w:r>
      <w:r w:rsidRPr="001331E2">
        <w:rPr>
          <w:rFonts w:eastAsiaTheme="minorHAnsi"/>
          <w:lang w:val="en-US" w:eastAsia="en-US"/>
        </w:rPr>
        <w:t xml:space="preserve"> place for it in your </w:t>
      </w:r>
      <w:proofErr w:type="gramStart"/>
      <w:r w:rsidRPr="001331E2">
        <w:rPr>
          <w:rFonts w:eastAsiaTheme="minorHAnsi"/>
          <w:lang w:val="en-US" w:eastAsia="en-US"/>
        </w:rPr>
        <w:t>life.</w:t>
      </w:r>
      <w:r w:rsidRPr="001331E2">
        <w:rPr>
          <w:rFonts w:eastAsiaTheme="minorHAnsi"/>
          <w:lang w:val="en-US" w:eastAsia="en-US"/>
        </w:rPr>
        <w:t>–</w:t>
      </w:r>
      <w:proofErr w:type="gramEnd"/>
      <w:r w:rsidRPr="001331E2">
        <w:rPr>
          <w:rFonts w:eastAsiaTheme="minorHAnsi"/>
          <w:lang w:val="en-US" w:eastAsia="en-US"/>
        </w:rPr>
        <w:t xml:space="preserve">There is no </w:t>
      </w:r>
      <w:r w:rsidRPr="001331E2">
        <w:rPr>
          <w:rFonts w:eastAsiaTheme="minorHAnsi"/>
          <w:i/>
          <w:iCs/>
          <w:lang w:val="en-US" w:eastAsia="en-US"/>
        </w:rPr>
        <w:t>paradox</w:t>
      </w:r>
      <w:r w:rsidRPr="001331E2">
        <w:rPr>
          <w:rFonts w:eastAsiaTheme="minorHAnsi"/>
          <w:lang w:val="en-US" w:eastAsia="en-US"/>
        </w:rPr>
        <w:t xml:space="preserve"> about that!</w:t>
      </w:r>
      <w:r w:rsidRPr="001331E2">
        <w:rPr>
          <w:rFonts w:eastAsiaTheme="minorHAnsi"/>
          <w:lang w:val="en-US" w:eastAsia="en-US"/>
        </w:rPr>
        <w:t xml:space="preserve"> CV 37</w:t>
      </w:r>
    </w:p>
    <w:p w:rsidR="00C2377C" w:rsidRPr="00C2377C" w:rsidRDefault="00C2377C" w:rsidP="00C2377C">
      <w:pPr>
        <w:pStyle w:val="Odstavecseseznamem"/>
        <w:numPr>
          <w:ilvl w:val="0"/>
          <w:numId w:val="13"/>
        </w:numPr>
        <w:rPr>
          <w:rFonts w:eastAsiaTheme="minorHAnsi"/>
          <w:lang w:val="en-US" w:eastAsia="en-US"/>
        </w:rPr>
      </w:pPr>
      <w:r w:rsidRPr="00C2377C">
        <w:rPr>
          <w:rFonts w:eastAsiaTheme="minorHAnsi"/>
          <w:lang w:val="en-US" w:eastAsia="en-US"/>
        </w:rPr>
        <w:t>Longfellow:</w:t>
      </w:r>
    </w:p>
    <w:p w:rsidR="00C2377C" w:rsidRPr="00881F7B" w:rsidRDefault="00C2377C" w:rsidP="00C2377C">
      <w:pPr>
        <w:ind w:left="708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In the elder days of art,</w:t>
      </w:r>
    </w:p>
    <w:p w:rsidR="00C2377C" w:rsidRPr="00881F7B" w:rsidRDefault="00C2377C" w:rsidP="00C2377C">
      <w:pPr>
        <w:ind w:left="708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Builders wrought with greatest care</w:t>
      </w:r>
      <w:bookmarkStart w:id="0" w:name="_GoBack"/>
      <w:bookmarkEnd w:id="0"/>
    </w:p>
    <w:p w:rsidR="00C2377C" w:rsidRPr="00881F7B" w:rsidRDefault="00C2377C" w:rsidP="00C2377C">
      <w:pPr>
        <w:ind w:left="708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Each minute &amp; unseen part,</w:t>
      </w:r>
    </w:p>
    <w:p w:rsidR="00C2377C" w:rsidRPr="00881F7B" w:rsidRDefault="00C2377C" w:rsidP="00C2377C">
      <w:pPr>
        <w:ind w:left="708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For the gods are everywhere.</w:t>
      </w:r>
    </w:p>
    <w:p w:rsidR="00C2377C" w:rsidRPr="00881F7B" w:rsidRDefault="00C2377C" w:rsidP="00C2377C">
      <w:pPr>
        <w:autoSpaceDE w:val="0"/>
        <w:autoSpaceDN w:val="0"/>
        <w:adjustRightInd w:val="0"/>
        <w:ind w:left="708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(This might serve as my motto.)</w:t>
      </w:r>
      <w:r w:rsidRPr="00881F7B">
        <w:rPr>
          <w:rFonts w:eastAsiaTheme="minorHAnsi"/>
          <w:lang w:val="en-US" w:eastAsia="en-US"/>
        </w:rPr>
        <w:t xml:space="preserve"> CV 39</w:t>
      </w:r>
    </w:p>
    <w:p w:rsidR="00C2377C" w:rsidRPr="00881F7B" w:rsidRDefault="00E03F28" w:rsidP="00304CB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 xml:space="preserve">A miracle is, as it were, a </w:t>
      </w:r>
      <w:r w:rsidRPr="00881F7B">
        <w:rPr>
          <w:rFonts w:eastAsiaTheme="minorHAnsi"/>
          <w:i/>
          <w:iCs/>
          <w:lang w:val="en-US" w:eastAsia="en-US"/>
        </w:rPr>
        <w:t>gesture</w:t>
      </w:r>
      <w:r w:rsidRPr="00881F7B">
        <w:rPr>
          <w:rFonts w:eastAsiaTheme="minorHAnsi"/>
          <w:lang w:val="en-US" w:eastAsia="en-US"/>
        </w:rPr>
        <w:t xml:space="preserve"> which God makes.</w:t>
      </w:r>
      <w:r w:rsidRPr="00881F7B">
        <w:rPr>
          <w:rFonts w:eastAsiaTheme="minorHAnsi"/>
          <w:lang w:val="en-US" w:eastAsia="en-US"/>
        </w:rPr>
        <w:t xml:space="preserve"> </w:t>
      </w:r>
      <w:r w:rsidR="00304CB5" w:rsidRPr="00881F7B">
        <w:rPr>
          <w:rFonts w:eastAsiaTheme="minorHAnsi"/>
          <w:lang w:val="en-US" w:eastAsia="en-US"/>
        </w:rPr>
        <w:t xml:space="preserve">… </w:t>
      </w:r>
      <w:r w:rsidR="00304CB5" w:rsidRPr="00881F7B">
        <w:rPr>
          <w:rFonts w:eastAsiaTheme="minorHAnsi"/>
          <w:lang w:val="en-US" w:eastAsia="en-US"/>
        </w:rPr>
        <w:t xml:space="preserve">The only way for me to believe in a miracle in this sense would be to be </w:t>
      </w:r>
      <w:r w:rsidR="00304CB5" w:rsidRPr="00881F7B">
        <w:rPr>
          <w:rFonts w:eastAsiaTheme="minorHAnsi"/>
          <w:i/>
          <w:iCs/>
          <w:lang w:val="en-US" w:eastAsia="en-US"/>
        </w:rPr>
        <w:t>impressed</w:t>
      </w:r>
      <w:r w:rsidR="00304CB5" w:rsidRPr="00881F7B">
        <w:rPr>
          <w:rFonts w:eastAsiaTheme="minorHAnsi"/>
          <w:lang w:val="en-US" w:eastAsia="en-US"/>
        </w:rPr>
        <w:t xml:space="preserve"> by an occurrence in this</w:t>
      </w:r>
      <w:r w:rsidR="00304CB5" w:rsidRPr="00881F7B">
        <w:rPr>
          <w:rFonts w:eastAsiaTheme="minorHAnsi"/>
          <w:lang w:val="en-US" w:eastAsia="en-US"/>
        </w:rPr>
        <w:t xml:space="preserve"> </w:t>
      </w:r>
      <w:r w:rsidR="00304CB5" w:rsidRPr="00881F7B">
        <w:rPr>
          <w:rFonts w:eastAsiaTheme="minorHAnsi"/>
          <w:lang w:val="en-US" w:eastAsia="en-US"/>
        </w:rPr>
        <w:t>particular way</w:t>
      </w:r>
      <w:r w:rsidR="00304CB5" w:rsidRPr="00881F7B">
        <w:rPr>
          <w:rFonts w:eastAsiaTheme="minorHAnsi"/>
          <w:lang w:val="en-US" w:eastAsia="en-US"/>
        </w:rPr>
        <w:t>. CV 51</w:t>
      </w:r>
    </w:p>
    <w:p w:rsidR="00304CB5" w:rsidRPr="00881F7B" w:rsidRDefault="001331E2" w:rsidP="00304CB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‘</w:t>
      </w:r>
      <w:r w:rsidR="00304CB5" w:rsidRPr="00881F7B">
        <w:rPr>
          <w:rFonts w:eastAsiaTheme="minorHAnsi"/>
          <w:lang w:val="en-US" w:eastAsia="en-US"/>
        </w:rPr>
        <w:t>Believing</w:t>
      </w:r>
      <w:r>
        <w:rPr>
          <w:rFonts w:eastAsiaTheme="minorHAnsi"/>
          <w:lang w:val="en-US" w:eastAsia="en-US"/>
        </w:rPr>
        <w:t>’</w:t>
      </w:r>
      <w:r w:rsidR="00304CB5" w:rsidRPr="00881F7B">
        <w:rPr>
          <w:rFonts w:eastAsiaTheme="minorHAnsi"/>
          <w:lang w:val="en-US" w:eastAsia="en-US"/>
        </w:rPr>
        <w:t xml:space="preserve"> means, submitting to an authority.</w:t>
      </w:r>
      <w:r w:rsidR="00304CB5" w:rsidRPr="00881F7B">
        <w:rPr>
          <w:rFonts w:eastAsiaTheme="minorHAnsi"/>
          <w:lang w:val="en-US" w:eastAsia="en-US"/>
        </w:rPr>
        <w:t xml:space="preserve"> CV 52</w:t>
      </w:r>
    </w:p>
    <w:p w:rsidR="00304CB5" w:rsidRPr="00881F7B" w:rsidRDefault="00304CB5" w:rsidP="00304CB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It isn't reasonable to be furious even at Hitler; let alone at God.</w:t>
      </w:r>
      <w:r w:rsidRPr="00881F7B">
        <w:rPr>
          <w:rFonts w:eastAsiaTheme="minorHAnsi"/>
          <w:lang w:val="en-US" w:eastAsia="en-US"/>
        </w:rPr>
        <w:t xml:space="preserve"> CV 53</w:t>
      </w:r>
    </w:p>
    <w:p w:rsidR="00304CB5" w:rsidRPr="00881F7B" w:rsidRDefault="00304CB5" w:rsidP="00304CB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Religion is as it were the calm sea bottom at its deepest, remaining calm, however high the waves rise on the</w:t>
      </w:r>
      <w:r w:rsidRPr="00881F7B">
        <w:rPr>
          <w:rFonts w:eastAsiaTheme="minorHAnsi"/>
          <w:lang w:val="en-US" w:eastAsia="en-US"/>
        </w:rPr>
        <w:t xml:space="preserve"> </w:t>
      </w:r>
      <w:proofErr w:type="gramStart"/>
      <w:r w:rsidRPr="00881F7B">
        <w:rPr>
          <w:rFonts w:eastAsiaTheme="minorHAnsi"/>
          <w:lang w:val="en-US" w:eastAsia="en-US"/>
        </w:rPr>
        <w:t>surface.</w:t>
      </w:r>
      <w:r w:rsidRPr="00881F7B">
        <w:rPr>
          <w:rFonts w:eastAsiaTheme="minorHAnsi"/>
          <w:lang w:val="en-US" w:eastAsia="en-US"/>
        </w:rPr>
        <w:t>—</w:t>
      </w:r>
      <w:proofErr w:type="gramEnd"/>
      <w:r w:rsidRPr="00881F7B">
        <w:rPr>
          <w:rFonts w:eastAsiaTheme="minorHAnsi"/>
          <w:lang w:val="en-US" w:eastAsia="en-US"/>
        </w:rPr>
        <w:t xml:space="preserve"> CV 61</w:t>
      </w:r>
    </w:p>
    <w:p w:rsidR="00304CB5" w:rsidRPr="00881F7B" w:rsidRDefault="00A37FAF" w:rsidP="00A37FAF">
      <w:pPr>
        <w:pStyle w:val="Odstavecseseznamem"/>
        <w:numPr>
          <w:ilvl w:val="0"/>
          <w:numId w:val="14"/>
        </w:numPr>
        <w:rPr>
          <w:rFonts w:eastAsiaTheme="minorHAnsi"/>
          <w:lang w:val="en-US" w:eastAsia="en-US"/>
        </w:rPr>
      </w:pPr>
      <w:r w:rsidRPr="00A37FAF">
        <w:rPr>
          <w:rFonts w:eastAsiaTheme="minorHAnsi"/>
          <w:lang w:val="en-US" w:eastAsia="en-US"/>
        </w:rPr>
        <w:t>The honest religious thinker is like a tightrope walker. It almost looks as though he were walking on nothing but air.</w:t>
      </w:r>
      <w:r w:rsidRPr="00881F7B">
        <w:rPr>
          <w:rFonts w:eastAsiaTheme="minorHAnsi"/>
          <w:lang w:val="en-US" w:eastAsia="en-US"/>
        </w:rPr>
        <w:br/>
      </w:r>
      <w:r w:rsidRPr="00881F7B">
        <w:rPr>
          <w:rFonts w:eastAsiaTheme="minorHAnsi"/>
          <w:lang w:val="en-US" w:eastAsia="en-US"/>
        </w:rPr>
        <w:t>His support is the slenderest imaginable. And yet it really is possible to walk on it.</w:t>
      </w:r>
      <w:r w:rsidRPr="00881F7B">
        <w:rPr>
          <w:rFonts w:eastAsiaTheme="minorHAnsi"/>
          <w:lang w:val="en-US" w:eastAsia="en-US"/>
        </w:rPr>
        <w:t xml:space="preserve"> CV 84</w:t>
      </w:r>
    </w:p>
    <w:p w:rsidR="00A37FAF" w:rsidRPr="00881F7B" w:rsidRDefault="00A37FAF" w:rsidP="00A37FAF">
      <w:pPr>
        <w:pStyle w:val="Odstavecseseznamem"/>
        <w:numPr>
          <w:ilvl w:val="0"/>
          <w:numId w:val="14"/>
        </w:numPr>
        <w:rPr>
          <w:rFonts w:eastAsiaTheme="minorHAnsi"/>
          <w:lang w:val="en-US" w:eastAsia="en-US"/>
        </w:rPr>
      </w:pPr>
      <w:r w:rsidRPr="00881F7B">
        <w:rPr>
          <w:rFonts w:eastAsiaTheme="minorHAnsi"/>
          <w:lang w:val="en-US" w:eastAsia="en-US"/>
        </w:rPr>
        <w:t>If Christianity is the truth, then all the philosophy about it is false.</w:t>
      </w:r>
      <w:r w:rsidRPr="00881F7B">
        <w:rPr>
          <w:rFonts w:eastAsiaTheme="minorHAnsi"/>
          <w:lang w:val="en-US" w:eastAsia="en-US"/>
        </w:rPr>
        <w:t xml:space="preserve"> CV 89</w:t>
      </w:r>
    </w:p>
    <w:p w:rsidR="00A61524" w:rsidRPr="00881F7B" w:rsidRDefault="002206AF" w:rsidP="004026C8">
      <w:pPr>
        <w:pStyle w:val="Nadpis2"/>
        <w:rPr>
          <w:lang w:val="en-US"/>
        </w:rPr>
      </w:pPr>
      <w:r w:rsidRPr="00881F7B">
        <w:rPr>
          <w:lang w:val="en-US"/>
        </w:rPr>
        <w:t>Assigned reading</w:t>
      </w:r>
    </w:p>
    <w:p w:rsidR="002206AF" w:rsidRPr="00881F7B" w:rsidRDefault="002206AF" w:rsidP="002206AF">
      <w:pPr>
        <w:pStyle w:val="Odstavecseseznamem"/>
        <w:numPr>
          <w:ilvl w:val="0"/>
          <w:numId w:val="12"/>
        </w:numPr>
        <w:rPr>
          <w:lang w:val="en-US"/>
        </w:rPr>
      </w:pPr>
      <w:r w:rsidRPr="00881F7B">
        <w:rPr>
          <w:lang w:val="en-US"/>
        </w:rPr>
        <w:t xml:space="preserve">L. Wittgenstein, </w:t>
      </w:r>
      <w:r w:rsidRPr="00881F7B">
        <w:rPr>
          <w:i/>
          <w:iCs/>
          <w:lang w:val="en-US"/>
        </w:rPr>
        <w:t>Culture and Value</w:t>
      </w:r>
      <w:r w:rsidR="00C2377C" w:rsidRPr="00881F7B">
        <w:rPr>
          <w:lang w:val="en-US"/>
        </w:rPr>
        <w:t>, remarks about religion</w:t>
      </w:r>
      <w:r w:rsidR="005C74F5">
        <w:rPr>
          <w:lang w:val="en-US"/>
        </w:rPr>
        <w:t xml:space="preserve"> (CV)</w:t>
      </w:r>
    </w:p>
    <w:p w:rsidR="004026C8" w:rsidRPr="00881F7B" w:rsidRDefault="004026C8" w:rsidP="004026C8">
      <w:pPr>
        <w:pStyle w:val="Nadpis2"/>
        <w:rPr>
          <w:lang w:val="en-US"/>
        </w:rPr>
      </w:pPr>
      <w:r w:rsidRPr="00881F7B">
        <w:rPr>
          <w:lang w:val="en-US"/>
        </w:rPr>
        <w:t>Further reading</w:t>
      </w:r>
    </w:p>
    <w:p w:rsidR="00384642" w:rsidRPr="00881F7B" w:rsidRDefault="00A61524" w:rsidP="00384642">
      <w:pPr>
        <w:pStyle w:val="Odstavecseseznamem"/>
        <w:numPr>
          <w:ilvl w:val="0"/>
          <w:numId w:val="6"/>
        </w:numPr>
        <w:rPr>
          <w:lang w:val="en-US"/>
        </w:rPr>
      </w:pPr>
      <w:r w:rsidRPr="00881F7B">
        <w:rPr>
          <w:lang w:val="en-US"/>
        </w:rPr>
        <w:t xml:space="preserve">H.-J. Glock, </w:t>
      </w:r>
      <w:r w:rsidR="00384642" w:rsidRPr="00881F7B">
        <w:rPr>
          <w:lang w:val="en-US"/>
        </w:rPr>
        <w:t>“</w:t>
      </w:r>
      <w:r w:rsidR="004921EE" w:rsidRPr="00881F7B">
        <w:rPr>
          <w:lang w:val="en-US"/>
        </w:rPr>
        <w:t>Religion</w:t>
      </w:r>
      <w:r w:rsidR="00384642" w:rsidRPr="00881F7B">
        <w:rPr>
          <w:lang w:val="en-US"/>
        </w:rPr>
        <w:t xml:space="preserve">”, </w:t>
      </w:r>
      <w:r w:rsidR="00384642" w:rsidRPr="00881F7B">
        <w:rPr>
          <w:i/>
          <w:iCs/>
          <w:lang w:val="en-US"/>
        </w:rPr>
        <w:t>A Wittgenstein Dictionary</w:t>
      </w:r>
      <w:r w:rsidR="00384642" w:rsidRPr="00881F7B">
        <w:rPr>
          <w:lang w:val="en-US"/>
        </w:rPr>
        <w:t>, Blackwell, 1996.</w:t>
      </w:r>
    </w:p>
    <w:p w:rsidR="00384642" w:rsidRPr="00881F7B" w:rsidRDefault="003103DC" w:rsidP="00A61524">
      <w:pPr>
        <w:pStyle w:val="Odstavecseseznamem"/>
        <w:numPr>
          <w:ilvl w:val="0"/>
          <w:numId w:val="6"/>
        </w:numPr>
        <w:rPr>
          <w:lang w:val="en-US" w:eastAsia="en-US"/>
        </w:rPr>
      </w:pPr>
      <w:r w:rsidRPr="00881F7B">
        <w:rPr>
          <w:lang w:val="en-US" w:eastAsia="en-US"/>
        </w:rPr>
        <w:t>J. Cottingham</w:t>
      </w:r>
      <w:r w:rsidR="00384642" w:rsidRPr="00881F7B">
        <w:rPr>
          <w:lang w:val="en-US" w:eastAsia="en-US"/>
        </w:rPr>
        <w:t>, “</w:t>
      </w:r>
      <w:r w:rsidR="00384642" w:rsidRPr="00881F7B">
        <w:rPr>
          <w:lang w:val="en-US"/>
        </w:rPr>
        <w:t xml:space="preserve">Wittgenstein and </w:t>
      </w:r>
      <w:r w:rsidRPr="00881F7B">
        <w:rPr>
          <w:lang w:val="en-US"/>
        </w:rPr>
        <w:t>Philosophy of Religion</w:t>
      </w:r>
      <w:r w:rsidR="00384642" w:rsidRPr="00881F7B">
        <w:rPr>
          <w:lang w:val="en-US" w:eastAsia="en-US"/>
        </w:rPr>
        <w:t xml:space="preserve">”, in: H.‐J. Glock and J. Hyman (eds.), </w:t>
      </w:r>
      <w:r w:rsidR="00A61524" w:rsidRPr="00881F7B">
        <w:rPr>
          <w:i/>
          <w:iCs/>
          <w:lang w:val="en-US" w:eastAsia="en-US"/>
        </w:rPr>
        <w:t>A Companion to Wittgenstein</w:t>
      </w:r>
      <w:r w:rsidR="00A61524" w:rsidRPr="00881F7B">
        <w:rPr>
          <w:lang w:val="en-US" w:eastAsia="en-US"/>
        </w:rPr>
        <w:t>, Blackwell, 2017.</w:t>
      </w:r>
    </w:p>
    <w:sectPr w:rsidR="00384642" w:rsidRPr="00881F7B" w:rsidSect="00FE624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8B" w:rsidRDefault="0089798B" w:rsidP="004026C8">
      <w:r>
        <w:separator/>
      </w:r>
    </w:p>
  </w:endnote>
  <w:endnote w:type="continuationSeparator" w:id="0">
    <w:p w:rsidR="0089798B" w:rsidRDefault="0089798B" w:rsidP="0040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8B" w:rsidRDefault="0089798B" w:rsidP="004026C8">
      <w:r>
        <w:separator/>
      </w:r>
    </w:p>
  </w:footnote>
  <w:footnote w:type="continuationSeparator" w:id="0">
    <w:p w:rsidR="0089798B" w:rsidRDefault="0089798B" w:rsidP="0040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C8" w:rsidRPr="00AF7450" w:rsidRDefault="00AF7450" w:rsidP="00AF7450">
    <w:pPr>
      <w:pStyle w:val="Zhlav"/>
      <w:ind w:left="-851"/>
      <w:rPr>
        <w:sz w:val="16"/>
        <w:szCs w:val="16"/>
        <w:lang w:val="en-US"/>
      </w:rPr>
    </w:pPr>
    <w:r>
      <w:fldChar w:fldCharType="begin"/>
    </w:r>
    <w:r>
      <w:instrText xml:space="preserve"> INCLUDEPICTURE "/var/folders/8r/y8zdht8d44lb0nf9knr3ny7w0000gn/T/com.microsoft.Word/WebArchiveCopyPasteTempFiles/w9HN9IZnL9u5AAAAABJRU5ErkJggg==" \* MERGEFORMATINET </w:instrText>
    </w:r>
    <w:r>
      <w:fldChar w:fldCharType="separate"/>
    </w:r>
    <w:r>
      <w:rPr>
        <w:noProof/>
      </w:rPr>
      <w:drawing>
        <wp:inline distT="0" distB="0" distL="0" distR="0" wp14:anchorId="7CDF31E2" wp14:editId="1989ACCE">
          <wp:extent cx="563671" cy="563671"/>
          <wp:effectExtent l="0" t="0" r="0" b="0"/>
          <wp:docPr id="1" name="Obrázek 1" descr="Výsledek obrázku pro ff mu logo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ff mu logo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2" cy="57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  <w:r w:rsidR="004026C8" w:rsidRPr="00AF7450">
      <w:rPr>
        <w:sz w:val="16"/>
        <w:szCs w:val="16"/>
        <w:lang w:val="en-US"/>
      </w:rPr>
      <w:t>Wittgenstein: Selected Chapters</w:t>
    </w:r>
    <w:r w:rsidR="004026C8" w:rsidRPr="00AF7450">
      <w:rPr>
        <w:sz w:val="16"/>
        <w:szCs w:val="16"/>
        <w:lang w:val="en-US"/>
      </w:rPr>
      <w:tab/>
      <w:t>fall 2019</w:t>
    </w:r>
  </w:p>
  <w:p w:rsidR="00AF7450" w:rsidRPr="00AF7450" w:rsidRDefault="00384642" w:rsidP="00384642">
    <w:pPr>
      <w:pStyle w:val="Zhlav"/>
      <w:ind w:left="-851" w:firstLine="851"/>
      <w:rPr>
        <w:sz w:val="16"/>
        <w:szCs w:val="16"/>
        <w:lang w:val="en-US"/>
      </w:rPr>
    </w:pPr>
    <w:r w:rsidRPr="004026C8">
      <w:rPr>
        <w:b/>
        <w:bCs/>
        <w:lang w:val="en-US"/>
      </w:rPr>
      <w:t xml:space="preserve">Wittgenstein </w:t>
    </w:r>
    <w:r w:rsidR="00021F84">
      <w:rPr>
        <w:b/>
        <w:bCs/>
        <w:lang w:val="en-US"/>
      </w:rPr>
      <w:t>on religion and mysticism</w:t>
    </w:r>
    <w:r w:rsidR="00AF7450" w:rsidRPr="00AF7450">
      <w:rPr>
        <w:sz w:val="16"/>
        <w:szCs w:val="16"/>
        <w:lang w:val="en-US"/>
      </w:rPr>
      <w:tab/>
    </w:r>
    <w:r w:rsidR="00021F84">
      <w:rPr>
        <w:sz w:val="16"/>
        <w:szCs w:val="16"/>
        <w:lang w:val="en-US"/>
      </w:rPr>
      <w:tab/>
    </w:r>
    <w:r w:rsidR="00021F84" w:rsidRPr="00AF7450">
      <w:rPr>
        <w:sz w:val="16"/>
        <w:szCs w:val="16"/>
        <w:lang w:val="en-US"/>
      </w:rPr>
      <w:t>Jakub Mácha</w:t>
    </w:r>
    <w:r w:rsidR="00021F84">
      <w:rPr>
        <w:sz w:val="16"/>
        <w:szCs w:val="16"/>
        <w:lang w:val="en-US"/>
      </w:rPr>
      <w:t xml:space="preserve">, </w:t>
    </w:r>
    <w:r w:rsidR="00AF7450" w:rsidRPr="00AF7450">
      <w:rPr>
        <w:sz w:val="16"/>
        <w:szCs w:val="16"/>
        <w:lang w:val="en-US"/>
      </w:rPr>
      <w:t>macha@mail.muni.cz</w:t>
    </w:r>
  </w:p>
  <w:p w:rsidR="00AF7450" w:rsidRPr="004026C8" w:rsidRDefault="00AF7450" w:rsidP="00AF7450">
    <w:pPr>
      <w:pStyle w:val="Zhlav"/>
      <w:ind w:left="-85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926"/>
    <w:multiLevelType w:val="hybridMultilevel"/>
    <w:tmpl w:val="FBCAF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0FB"/>
    <w:multiLevelType w:val="hybridMultilevel"/>
    <w:tmpl w:val="70D06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170D9"/>
    <w:multiLevelType w:val="hybridMultilevel"/>
    <w:tmpl w:val="1D521E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B51F3"/>
    <w:multiLevelType w:val="hybridMultilevel"/>
    <w:tmpl w:val="27C4F2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51CB5"/>
    <w:multiLevelType w:val="hybridMultilevel"/>
    <w:tmpl w:val="4FA4D1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012E7"/>
    <w:multiLevelType w:val="hybridMultilevel"/>
    <w:tmpl w:val="7B38A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B7591"/>
    <w:multiLevelType w:val="hybridMultilevel"/>
    <w:tmpl w:val="086A4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92F27"/>
    <w:multiLevelType w:val="hybridMultilevel"/>
    <w:tmpl w:val="594057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95E09"/>
    <w:multiLevelType w:val="hybridMultilevel"/>
    <w:tmpl w:val="6F0A7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6285"/>
    <w:multiLevelType w:val="hybridMultilevel"/>
    <w:tmpl w:val="9AECE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75BD2"/>
    <w:multiLevelType w:val="hybridMultilevel"/>
    <w:tmpl w:val="D8CA61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909A8"/>
    <w:multiLevelType w:val="hybridMultilevel"/>
    <w:tmpl w:val="3004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F3EE4"/>
    <w:multiLevelType w:val="hybridMultilevel"/>
    <w:tmpl w:val="EE4C5E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66A34"/>
    <w:multiLevelType w:val="hybridMultilevel"/>
    <w:tmpl w:val="14E620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C"/>
    <w:rsid w:val="00021F84"/>
    <w:rsid w:val="000252D3"/>
    <w:rsid w:val="00096705"/>
    <w:rsid w:val="001331E2"/>
    <w:rsid w:val="00203830"/>
    <w:rsid w:val="002206AF"/>
    <w:rsid w:val="002C6E2D"/>
    <w:rsid w:val="00304CB5"/>
    <w:rsid w:val="003103DC"/>
    <w:rsid w:val="00333CD3"/>
    <w:rsid w:val="00384642"/>
    <w:rsid w:val="00384FD7"/>
    <w:rsid w:val="004026C8"/>
    <w:rsid w:val="00422CB7"/>
    <w:rsid w:val="00424845"/>
    <w:rsid w:val="00455CBC"/>
    <w:rsid w:val="004921EE"/>
    <w:rsid w:val="004B7DD4"/>
    <w:rsid w:val="004F46CA"/>
    <w:rsid w:val="00535B32"/>
    <w:rsid w:val="005B3D59"/>
    <w:rsid w:val="005C0B9E"/>
    <w:rsid w:val="005C74F5"/>
    <w:rsid w:val="00623276"/>
    <w:rsid w:val="00643AD7"/>
    <w:rsid w:val="00712670"/>
    <w:rsid w:val="00775E12"/>
    <w:rsid w:val="00881F7B"/>
    <w:rsid w:val="0089798B"/>
    <w:rsid w:val="00931172"/>
    <w:rsid w:val="009861A7"/>
    <w:rsid w:val="0099489D"/>
    <w:rsid w:val="00A24EAA"/>
    <w:rsid w:val="00A37FAF"/>
    <w:rsid w:val="00A52A9E"/>
    <w:rsid w:val="00A61524"/>
    <w:rsid w:val="00A641E0"/>
    <w:rsid w:val="00AF7450"/>
    <w:rsid w:val="00B15AD6"/>
    <w:rsid w:val="00B378A1"/>
    <w:rsid w:val="00C052E2"/>
    <w:rsid w:val="00C2377C"/>
    <w:rsid w:val="00CF3CA4"/>
    <w:rsid w:val="00D06CDF"/>
    <w:rsid w:val="00DA1F4D"/>
    <w:rsid w:val="00E03F28"/>
    <w:rsid w:val="00E96136"/>
    <w:rsid w:val="00F06B85"/>
    <w:rsid w:val="00F4128A"/>
    <w:rsid w:val="00F56A97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F3844"/>
  <w15:chartTrackingRefBased/>
  <w15:docId w15:val="{60A88AF0-C8CE-0848-ACD6-7AE27A60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642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3D5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3D5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C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3D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26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6C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026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6C8"/>
  </w:style>
  <w:style w:type="paragraph" w:styleId="Zpat">
    <w:name w:val="footer"/>
    <w:basedOn w:val="Normln"/>
    <w:link w:val="ZpatChar"/>
    <w:uiPriority w:val="99"/>
    <w:unhideWhenUsed/>
    <w:rsid w:val="004026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6C8"/>
  </w:style>
  <w:style w:type="character" w:customStyle="1" w:styleId="apple-converted-space">
    <w:name w:val="apple-converted-space"/>
    <w:basedOn w:val="Standardnpsmoodstavce"/>
    <w:rsid w:val="00384642"/>
  </w:style>
  <w:style w:type="character" w:customStyle="1" w:styleId="Nadpis3Char">
    <w:name w:val="Nadpis 3 Char"/>
    <w:basedOn w:val="Standardnpsmoodstavce"/>
    <w:link w:val="Nadpis3"/>
    <w:uiPriority w:val="9"/>
    <w:rsid w:val="005B3D59"/>
    <w:rPr>
      <w:rFonts w:asciiTheme="majorHAnsi" w:eastAsiaTheme="majorEastAsia" w:hAnsiTheme="majorHAnsi" w:cstheme="majorBidi"/>
      <w:color w:val="1F3763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746</Words>
  <Characters>4057</Characters>
  <Application>Microsoft Office Word</Application>
  <DocSecurity>0</DocSecurity>
  <Lines>65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Mácha</dc:creator>
  <cp:keywords/>
  <dc:description/>
  <cp:lastModifiedBy>Jakub Mácha</cp:lastModifiedBy>
  <cp:revision>8</cp:revision>
  <dcterms:created xsi:type="dcterms:W3CDTF">2019-10-22T08:04:00Z</dcterms:created>
  <dcterms:modified xsi:type="dcterms:W3CDTF">2019-10-24T09:55:00Z</dcterms:modified>
</cp:coreProperties>
</file>