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173A" w14:textId="07B82E76" w:rsidR="00280909" w:rsidRPr="00111DBC" w:rsidRDefault="00F4285C" w:rsidP="00111DBC">
      <w:pPr>
        <w:pStyle w:val="Nadpis1"/>
        <w:spacing w:before="0" w:line="360" w:lineRule="auto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111DBC">
        <w:rPr>
          <w:color w:val="auto"/>
          <w:sz w:val="24"/>
          <w:szCs w:val="24"/>
        </w:rPr>
        <w:t xml:space="preserve">Úvod do </w:t>
      </w:r>
      <w:r w:rsidR="008F20FB">
        <w:rPr>
          <w:color w:val="auto"/>
          <w:sz w:val="24"/>
          <w:szCs w:val="24"/>
        </w:rPr>
        <w:t xml:space="preserve">základní </w:t>
      </w:r>
      <w:r w:rsidRPr="00111DBC">
        <w:rPr>
          <w:color w:val="auto"/>
          <w:sz w:val="24"/>
          <w:szCs w:val="24"/>
        </w:rPr>
        <w:t>terminologie:</w:t>
      </w:r>
    </w:p>
    <w:p w14:paraId="40F3023D" w14:textId="77777777" w:rsidR="00BF0CA3" w:rsidRDefault="00BF0CA3" w:rsidP="00F4285C">
      <w:pPr>
        <w:spacing w:line="360" w:lineRule="auto"/>
        <w:rPr>
          <w:rFonts w:ascii="Cambria" w:hAnsi="Cambria"/>
          <w:sz w:val="24"/>
          <w:szCs w:val="24"/>
        </w:rPr>
      </w:pPr>
    </w:p>
    <w:p w14:paraId="69A7173F" w14:textId="746A5FA9" w:rsidR="00F4285C" w:rsidRPr="00111DBC" w:rsidRDefault="00F4285C" w:rsidP="009C361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Historik pracuje s informacemi dvojího druhu:</w:t>
      </w:r>
      <w:r w:rsidR="009C3614">
        <w:rPr>
          <w:rFonts w:ascii="Cambria" w:hAnsi="Cambria"/>
          <w:sz w:val="24"/>
          <w:szCs w:val="24"/>
        </w:rPr>
        <w:t xml:space="preserve"> Jednak pracuje s p</w:t>
      </w:r>
      <w:r w:rsidRPr="00111DBC">
        <w:rPr>
          <w:rFonts w:ascii="Cambria" w:hAnsi="Cambria"/>
          <w:sz w:val="24"/>
          <w:szCs w:val="24"/>
        </w:rPr>
        <w:t>rameny</w:t>
      </w:r>
      <w:r w:rsidR="009C3614">
        <w:rPr>
          <w:rFonts w:ascii="Cambria" w:hAnsi="Cambria"/>
          <w:sz w:val="24"/>
          <w:szCs w:val="24"/>
        </w:rPr>
        <w:t>, jednak s literaturou.</w:t>
      </w:r>
    </w:p>
    <w:p w14:paraId="69A71741" w14:textId="77777777" w:rsidR="00F4285C" w:rsidRPr="00111DBC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</w:p>
    <w:p w14:paraId="69A71742" w14:textId="77777777" w:rsidR="00F4285C" w:rsidRPr="00111DBC" w:rsidRDefault="00F4285C" w:rsidP="00F4285C">
      <w:pPr>
        <w:spacing w:line="360" w:lineRule="auto"/>
        <w:rPr>
          <w:rFonts w:ascii="Cambria" w:hAnsi="Cambria"/>
          <w:b/>
          <w:sz w:val="24"/>
          <w:szCs w:val="24"/>
        </w:rPr>
      </w:pPr>
      <w:r w:rsidRPr="00111DBC">
        <w:rPr>
          <w:rFonts w:ascii="Cambria" w:hAnsi="Cambria"/>
          <w:b/>
          <w:sz w:val="24"/>
          <w:szCs w:val="24"/>
        </w:rPr>
        <w:t>Definice pramene:</w:t>
      </w:r>
    </w:p>
    <w:p w14:paraId="795386E7" w14:textId="77777777" w:rsidR="008F20FB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 xml:space="preserve">Pramen je informace vypovídající o době svého vzniku. Dělí se do dvou základních skupin: </w:t>
      </w:r>
    </w:p>
    <w:p w14:paraId="7442A859" w14:textId="1FB220C8" w:rsidR="008F20FB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prameny narativní (legendy, letopisy, kroniky, gesta, historie)</w:t>
      </w:r>
    </w:p>
    <w:p w14:paraId="69A71743" w14:textId="0FA06576" w:rsidR="00F4285C" w:rsidRPr="00111DBC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prameny úřední povahy (listiny, listy mandáty, úřední knihy)</w:t>
      </w:r>
    </w:p>
    <w:p w14:paraId="69A71744" w14:textId="4FADADCD" w:rsidR="008D58CE" w:rsidRPr="001659F1" w:rsidRDefault="00D67147" w:rsidP="00F4285C">
      <w:pPr>
        <w:spacing w:line="36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Historické prameny jsou uloženy v archivech, muzeích a knihovnách a již od konce 18. století jsou soustavně způsobem zpřístupňovány podle přesně definovaných edičních zásad</w:t>
      </w:r>
      <w:r w:rsidR="004A0CAC">
        <w:rPr>
          <w:rFonts w:ascii="Cambria" w:hAnsi="Cambria"/>
          <w:bCs/>
          <w:sz w:val="24"/>
          <w:szCs w:val="24"/>
        </w:rPr>
        <w:t xml:space="preserve"> (dále viz přílohy č. 2 a 3)</w:t>
      </w:r>
      <w:r>
        <w:rPr>
          <w:rFonts w:ascii="Cambria" w:hAnsi="Cambria"/>
          <w:bCs/>
          <w:sz w:val="24"/>
          <w:szCs w:val="24"/>
        </w:rPr>
        <w:t>.</w:t>
      </w:r>
      <w:r w:rsidR="00AD1520">
        <w:rPr>
          <w:rFonts w:ascii="Cambria" w:hAnsi="Cambria"/>
          <w:bCs/>
          <w:sz w:val="24"/>
          <w:szCs w:val="24"/>
        </w:rPr>
        <w:t xml:space="preserve"> V zásadě platí, že se české dějiny zhruba do konce vlády Karla IV. (1378) obejdou bez původního archivního výzkumu</w:t>
      </w:r>
      <w:r w:rsidR="00BF0CA3">
        <w:rPr>
          <w:rFonts w:ascii="Cambria" w:hAnsi="Cambria"/>
          <w:bCs/>
          <w:sz w:val="24"/>
          <w:szCs w:val="24"/>
        </w:rPr>
        <w:t>, neboť historikové mají k dispozici kritické, byť ne vždy zcela vyhovující edice (dále viz přílohy 4 a 5).</w:t>
      </w:r>
    </w:p>
    <w:p w14:paraId="715A7DD9" w14:textId="77777777" w:rsidR="001659F1" w:rsidRPr="001659F1" w:rsidRDefault="001659F1" w:rsidP="00F4285C">
      <w:pPr>
        <w:spacing w:line="360" w:lineRule="auto"/>
        <w:rPr>
          <w:rFonts w:ascii="Cambria" w:hAnsi="Cambria"/>
          <w:bCs/>
          <w:sz w:val="24"/>
          <w:szCs w:val="24"/>
        </w:rPr>
      </w:pPr>
    </w:p>
    <w:p w14:paraId="69A71745" w14:textId="77777777" w:rsidR="00F4285C" w:rsidRPr="00111DBC" w:rsidRDefault="00F4285C" w:rsidP="00F4285C">
      <w:pPr>
        <w:spacing w:line="360" w:lineRule="auto"/>
        <w:rPr>
          <w:rFonts w:ascii="Cambria" w:hAnsi="Cambria"/>
          <w:b/>
          <w:sz w:val="24"/>
          <w:szCs w:val="24"/>
        </w:rPr>
      </w:pPr>
      <w:r w:rsidRPr="00111DBC">
        <w:rPr>
          <w:rFonts w:ascii="Cambria" w:hAnsi="Cambria"/>
          <w:b/>
          <w:sz w:val="24"/>
          <w:szCs w:val="24"/>
        </w:rPr>
        <w:t>Definice literatury:</w:t>
      </w:r>
    </w:p>
    <w:p w14:paraId="69A71746" w14:textId="0EB75B6F" w:rsidR="00F4285C" w:rsidRPr="00111DBC" w:rsidRDefault="00F4285C" w:rsidP="00F4285C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Odbornou historickou literaturou se rozumí všechny výstupy historikovy práce (monografie, studie, recenze, anotace), kter</w:t>
      </w:r>
      <w:r w:rsidR="0091666F">
        <w:rPr>
          <w:rFonts w:ascii="Cambria" w:hAnsi="Cambria"/>
          <w:sz w:val="24"/>
          <w:szCs w:val="24"/>
        </w:rPr>
        <w:t>é</w:t>
      </w:r>
      <w:r w:rsidRPr="00111DBC">
        <w:rPr>
          <w:rFonts w:ascii="Cambria" w:hAnsi="Cambria"/>
          <w:sz w:val="24"/>
          <w:szCs w:val="24"/>
        </w:rPr>
        <w:t xml:space="preserve"> vznikly na základě studia pramenů a</w:t>
      </w:r>
      <w:r w:rsidR="0091666F">
        <w:rPr>
          <w:rFonts w:ascii="Cambria" w:hAnsi="Cambria"/>
          <w:sz w:val="24"/>
          <w:szCs w:val="24"/>
        </w:rPr>
        <w:t xml:space="preserve"> odborné historické</w:t>
      </w:r>
      <w:r w:rsidRPr="00111DBC">
        <w:rPr>
          <w:rFonts w:ascii="Cambria" w:hAnsi="Cambria"/>
          <w:sz w:val="24"/>
          <w:szCs w:val="24"/>
        </w:rPr>
        <w:t xml:space="preserve"> literatury.</w:t>
      </w:r>
      <w:r w:rsidR="0091666F">
        <w:rPr>
          <w:rFonts w:ascii="Cambria" w:hAnsi="Cambria"/>
          <w:sz w:val="24"/>
          <w:szCs w:val="24"/>
        </w:rPr>
        <w:t xml:space="preserve"> Práce s literaturou je rovnocenná práci s prameny,</w:t>
      </w:r>
      <w:r w:rsidR="001659F1">
        <w:rPr>
          <w:rFonts w:ascii="Cambria" w:hAnsi="Cambria"/>
          <w:sz w:val="24"/>
          <w:szCs w:val="24"/>
        </w:rPr>
        <w:t xml:space="preserve"> ve své podstatě by měla práci s prameny předcházet, protože historik je povinen seznámit se nejprve se stavem poznání.  </w:t>
      </w:r>
      <w:r w:rsidR="0091666F">
        <w:rPr>
          <w:rFonts w:ascii="Cambria" w:hAnsi="Cambria"/>
          <w:sz w:val="24"/>
          <w:szCs w:val="24"/>
        </w:rPr>
        <w:t xml:space="preserve"> </w:t>
      </w:r>
    </w:p>
    <w:p w14:paraId="69A71747" w14:textId="77777777" w:rsidR="008D58CE" w:rsidRPr="00111DBC" w:rsidRDefault="008D58CE" w:rsidP="00280909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69A71748" w14:textId="77777777" w:rsidR="001206D2" w:rsidRPr="00111DBC" w:rsidRDefault="008D58CE" w:rsidP="00280909">
      <w:pPr>
        <w:spacing w:line="360" w:lineRule="auto"/>
        <w:rPr>
          <w:rFonts w:ascii="Cambria" w:hAnsi="Cambria"/>
          <w:b/>
          <w:sz w:val="24"/>
          <w:szCs w:val="24"/>
        </w:rPr>
      </w:pPr>
      <w:r w:rsidRPr="00111DBC">
        <w:rPr>
          <w:rFonts w:ascii="Cambria" w:hAnsi="Cambria"/>
          <w:b/>
          <w:sz w:val="24"/>
          <w:szCs w:val="24"/>
        </w:rPr>
        <w:t>Poznámka</w:t>
      </w:r>
      <w:r w:rsidR="001206D2" w:rsidRPr="00111DBC">
        <w:rPr>
          <w:rFonts w:ascii="Cambria" w:hAnsi="Cambria"/>
          <w:b/>
          <w:sz w:val="24"/>
          <w:szCs w:val="24"/>
        </w:rPr>
        <w:t>:</w:t>
      </w:r>
    </w:p>
    <w:p w14:paraId="69A71749" w14:textId="77777777" w:rsidR="00280909" w:rsidRPr="00111DBC" w:rsidRDefault="001206D2" w:rsidP="00280909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sz w:val="24"/>
          <w:szCs w:val="24"/>
        </w:rPr>
        <w:t>Do českého</w:t>
      </w:r>
      <w:r w:rsidR="00280909" w:rsidRPr="00111DBC">
        <w:rPr>
          <w:rFonts w:ascii="Cambria" w:hAnsi="Cambria"/>
          <w:sz w:val="24"/>
          <w:szCs w:val="24"/>
        </w:rPr>
        <w:t xml:space="preserve"> </w:t>
      </w:r>
      <w:r w:rsidRPr="00111DBC">
        <w:rPr>
          <w:rFonts w:ascii="Cambria" w:hAnsi="Cambria"/>
          <w:sz w:val="24"/>
          <w:szCs w:val="24"/>
        </w:rPr>
        <w:t xml:space="preserve">historického </w:t>
      </w:r>
      <w:r w:rsidR="00280909" w:rsidRPr="00111DBC">
        <w:rPr>
          <w:rFonts w:ascii="Cambria" w:hAnsi="Cambria"/>
          <w:sz w:val="24"/>
          <w:szCs w:val="24"/>
        </w:rPr>
        <w:t xml:space="preserve">slovníku </w:t>
      </w:r>
      <w:r w:rsidRPr="00111DBC">
        <w:rPr>
          <w:rFonts w:ascii="Cambria" w:hAnsi="Cambria"/>
          <w:sz w:val="24"/>
          <w:szCs w:val="24"/>
        </w:rPr>
        <w:t xml:space="preserve">pronikl z angličtiny termín </w:t>
      </w:r>
      <w:r w:rsidR="00280909" w:rsidRPr="00111DBC">
        <w:rPr>
          <w:rFonts w:ascii="Cambria" w:hAnsi="Cambria"/>
          <w:sz w:val="24"/>
          <w:szCs w:val="24"/>
        </w:rPr>
        <w:t>„zdroj“,</w:t>
      </w:r>
      <w:r w:rsidR="00E724CF" w:rsidRPr="00111DBC">
        <w:rPr>
          <w:rFonts w:ascii="Cambria" w:hAnsi="Cambria"/>
          <w:sz w:val="24"/>
          <w:szCs w:val="24"/>
        </w:rPr>
        <w:t xml:space="preserve"> zpravidla</w:t>
      </w:r>
      <w:r w:rsidRPr="00111DBC">
        <w:rPr>
          <w:rFonts w:ascii="Cambria" w:hAnsi="Cambria"/>
          <w:sz w:val="24"/>
          <w:szCs w:val="24"/>
        </w:rPr>
        <w:t xml:space="preserve"> ve spojení s adjektivem „primární“</w:t>
      </w:r>
      <w:r w:rsidR="00E724CF" w:rsidRPr="00111DBC">
        <w:rPr>
          <w:rFonts w:ascii="Cambria" w:hAnsi="Cambria"/>
          <w:sz w:val="24"/>
          <w:szCs w:val="24"/>
        </w:rPr>
        <w:t>, čímž se rozumí prameny, a</w:t>
      </w:r>
      <w:r w:rsidRPr="00111DBC">
        <w:rPr>
          <w:rFonts w:ascii="Cambria" w:hAnsi="Cambria"/>
          <w:sz w:val="24"/>
          <w:szCs w:val="24"/>
        </w:rPr>
        <w:t xml:space="preserve"> „sekundární“</w:t>
      </w:r>
      <w:r w:rsidR="00E724CF" w:rsidRPr="00111DBC">
        <w:rPr>
          <w:rFonts w:ascii="Cambria" w:hAnsi="Cambria"/>
          <w:sz w:val="24"/>
          <w:szCs w:val="24"/>
        </w:rPr>
        <w:t xml:space="preserve">., čímž se rozumí literatura. </w:t>
      </w:r>
      <w:r w:rsidR="008D58CE" w:rsidRPr="00111DBC">
        <w:rPr>
          <w:rFonts w:ascii="Cambria" w:hAnsi="Cambria"/>
          <w:sz w:val="24"/>
          <w:szCs w:val="24"/>
        </w:rPr>
        <w:t>Navzdory jisté oblibě doporučujeme setrvat u tradiční terminologie (prameny, literatura), neboť primární a sekundární zdroje mohou mást ve smyslu</w:t>
      </w:r>
      <w:r w:rsidR="00E724CF" w:rsidRPr="00111DBC">
        <w:rPr>
          <w:rFonts w:ascii="Cambria" w:hAnsi="Cambria"/>
          <w:sz w:val="24"/>
          <w:szCs w:val="24"/>
        </w:rPr>
        <w:t xml:space="preserve">, </w:t>
      </w:r>
      <w:r w:rsidR="008D58CE" w:rsidRPr="00111DBC">
        <w:rPr>
          <w:rFonts w:ascii="Cambria" w:hAnsi="Cambria"/>
          <w:sz w:val="24"/>
          <w:szCs w:val="24"/>
        </w:rPr>
        <w:t>že historik pracuje</w:t>
      </w:r>
      <w:r w:rsidR="00E724CF" w:rsidRPr="00111DBC">
        <w:rPr>
          <w:rFonts w:ascii="Cambria" w:hAnsi="Cambria"/>
          <w:sz w:val="24"/>
          <w:szCs w:val="24"/>
        </w:rPr>
        <w:t xml:space="preserve"> s informacemi prvořadého a druhořadého významu.</w:t>
      </w:r>
    </w:p>
    <w:p w14:paraId="29CA3243" w14:textId="77777777" w:rsidR="001659F1" w:rsidRPr="00111DBC" w:rsidRDefault="001659F1" w:rsidP="00280909">
      <w:pPr>
        <w:spacing w:line="360" w:lineRule="auto"/>
        <w:rPr>
          <w:rFonts w:ascii="Cambria" w:hAnsi="Cambria"/>
          <w:sz w:val="24"/>
          <w:szCs w:val="24"/>
        </w:rPr>
      </w:pPr>
    </w:p>
    <w:p w14:paraId="69A7174B" w14:textId="77777777" w:rsidR="00E724CF" w:rsidRPr="00111DBC" w:rsidRDefault="00E724CF" w:rsidP="00280909">
      <w:pPr>
        <w:spacing w:line="360" w:lineRule="auto"/>
        <w:rPr>
          <w:rFonts w:ascii="Cambria" w:hAnsi="Cambria"/>
          <w:b/>
          <w:sz w:val="24"/>
          <w:szCs w:val="24"/>
        </w:rPr>
      </w:pPr>
      <w:r w:rsidRPr="00111DBC">
        <w:rPr>
          <w:rFonts w:ascii="Cambria" w:hAnsi="Cambria"/>
          <w:b/>
          <w:sz w:val="24"/>
          <w:szCs w:val="24"/>
        </w:rPr>
        <w:t xml:space="preserve">Dále viz: </w:t>
      </w:r>
    </w:p>
    <w:p w14:paraId="69A7174D" w14:textId="28023A5D" w:rsidR="008431B9" w:rsidRPr="009C3614" w:rsidRDefault="00E724CF" w:rsidP="009C3614">
      <w:pPr>
        <w:spacing w:line="360" w:lineRule="auto"/>
        <w:rPr>
          <w:rFonts w:ascii="Cambria" w:hAnsi="Cambria"/>
          <w:sz w:val="24"/>
          <w:szCs w:val="24"/>
        </w:rPr>
      </w:pPr>
      <w:r w:rsidRPr="00111DBC">
        <w:rPr>
          <w:rFonts w:ascii="Cambria" w:hAnsi="Cambria"/>
          <w:i/>
          <w:sz w:val="24"/>
          <w:szCs w:val="24"/>
        </w:rPr>
        <w:t>Úvod do studia dějepisu 1. díl</w:t>
      </w:r>
      <w:r w:rsidRPr="00111DBC">
        <w:rPr>
          <w:rFonts w:ascii="Cambria" w:hAnsi="Cambria"/>
          <w:sz w:val="24"/>
          <w:szCs w:val="24"/>
        </w:rPr>
        <w:t>. Brno 2014, s. 29–31.</w:t>
      </w:r>
    </w:p>
    <w:sectPr w:rsidR="008431B9" w:rsidRPr="009C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1A8"/>
    <w:multiLevelType w:val="hybridMultilevel"/>
    <w:tmpl w:val="52666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C70"/>
    <w:multiLevelType w:val="hybridMultilevel"/>
    <w:tmpl w:val="A2AAF7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C9"/>
    <w:rsid w:val="00111DBC"/>
    <w:rsid w:val="001206D2"/>
    <w:rsid w:val="001659F1"/>
    <w:rsid w:val="00280909"/>
    <w:rsid w:val="004A0CAC"/>
    <w:rsid w:val="00820CEF"/>
    <w:rsid w:val="008431B9"/>
    <w:rsid w:val="008D58CE"/>
    <w:rsid w:val="008F20FB"/>
    <w:rsid w:val="0091666F"/>
    <w:rsid w:val="009C3614"/>
    <w:rsid w:val="00AD1520"/>
    <w:rsid w:val="00BF0CA3"/>
    <w:rsid w:val="00D67147"/>
    <w:rsid w:val="00E724CF"/>
    <w:rsid w:val="00E825C9"/>
    <w:rsid w:val="00F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173A"/>
  <w15:chartTrackingRefBased/>
  <w15:docId w15:val="{0AD9112F-CD72-4A87-B725-B158D80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909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8090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9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4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2</cp:revision>
  <dcterms:created xsi:type="dcterms:W3CDTF">2020-10-19T07:49:00Z</dcterms:created>
  <dcterms:modified xsi:type="dcterms:W3CDTF">2020-10-19T07:49:00Z</dcterms:modified>
</cp:coreProperties>
</file>