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9E2D" w14:textId="640286A6" w:rsidR="003103E6" w:rsidRPr="008E23EF" w:rsidRDefault="003103E6" w:rsidP="00022F4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Ballantyne</w:t>
      </w:r>
      <w:proofErr w:type="spellEnd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Tony-Burton, Antoinette: </w:t>
      </w:r>
      <w:proofErr w:type="spellStart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Empires</w:t>
      </w:r>
      <w:proofErr w:type="spellEnd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and </w:t>
      </w:r>
      <w:proofErr w:type="spellStart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Reach</w:t>
      </w:r>
      <w:proofErr w:type="spellEnd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Global</w:t>
      </w:r>
      <w:proofErr w:type="spellEnd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In: Rosenberg, Emily S. (</w:t>
      </w:r>
      <w:proofErr w:type="spellStart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ed</w:t>
      </w:r>
      <w:proofErr w:type="spellEnd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.): A </w:t>
      </w:r>
      <w:proofErr w:type="spellStart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World</w:t>
      </w:r>
      <w:proofErr w:type="spellEnd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Connecting</w:t>
      </w:r>
      <w:proofErr w:type="spellEnd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1870-1945. Cambridge: Harvard University </w:t>
      </w:r>
      <w:proofErr w:type="spellStart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Press</w:t>
      </w:r>
      <w:proofErr w:type="spellEnd"/>
      <w:r w:rsidRPr="008E23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2012, s. 283-432.</w:t>
      </w:r>
    </w:p>
    <w:p w14:paraId="0FE8FCEB" w14:textId="77777777" w:rsidR="003103E6" w:rsidRPr="003103E6" w:rsidRDefault="003103E6" w:rsidP="00022F4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autorské dvojice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Ballantyne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Burton se zabývá imperiálními režimy, jejich mocenskými ambicemi uskutečňovaných v koloniích, a s tím souvisejícím vzrůstem boje proti kolonialismu. Novozélandský historik Tony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Ballantyne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dlouhodobě věnuje studiu imperiálního intelektuálního a kulturního života na Novém Zélandu, v Irsku, Indii a Británii. Toto zaměření se odráží na zahrnutých příkladech vybraných zejména ze zmíněných oblastí. Antoinette Burton se mimo studia imperialismu a imperiální společnosti zabývá také tématy mobility a feminismu. Zaměření obou autorů se objevilo i ve formulaci základních otázek po vzájemnosti a nerovnosti, které jsou zkoumány v kategoriích genderu, sexuality, rasy, etnicity, třídy a sociálního postavení.</w:t>
      </w:r>
    </w:p>
    <w:p w14:paraId="783B6B4E" w14:textId="77777777" w:rsidR="003103E6" w:rsidRPr="003103E6" w:rsidRDefault="003103E6" w:rsidP="00022F4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V uvedené části sledují vzrůst násilnosti imperiálních režimu i sil boje proti kolonialismu, které se podíleli na překreslování mapy světa mezi lety 1870-1945. Jedná se jak o faktické posouvání hranic impérií, tak o vytyčení sfér vlivu. Imperiální říše byly určujícím faktorem materiálních, sociálních a kulturních podmínek i mimo území, která jim oficiálně přináležela. I teritoria, která nebyla fakticky koloniemi, se nacházela pod ekonomickým a diplomatickým tlakem říší. Interakce a ovlivňování neprobíhalo však pouze mezi říší a koloniemi, ale také mezi mocnostmi navzájem. Ty byly propojené jak skrz migraci obyvatelstva (pracovní síly, misionáři, poutníci a další), ale také oběhem peněz a zboží, technologiemi či nemocemi. Existuje tedy více navzájem si konkurujících říší a globálních vizí, které jsou však propojené a v některých aspektech i spolupracující.</w:t>
      </w:r>
    </w:p>
    <w:p w14:paraId="1A90886C" w14:textId="47336491" w:rsidR="003103E6" w:rsidRPr="003103E6" w:rsidRDefault="003103E6" w:rsidP="00022F4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Rozporují představu, že 19. století bylo unikátní epochou vzniku, konsolidace a hegemonie těchto říší, které v mnohém navázaly na své předchůdce, z nichž čerpaly jak symbolický, tak reálný kapitál. (295) Obecně zdůrazňují kontinuitu dějin a fenoménů, které je nutno zkoumat v celé své šířce a hloubce, ve své specifičnosti. Právě zkoumáním událostí v prostoru a čase si uvědomíme složitost struktury globálních vztahů. Upozorňují na nezbytnost různorodosti pohledů (jak místní, tak sociální), které přinášejí další perspektivy.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(299)</w:t>
      </w:r>
    </w:p>
    <w:p w14:paraId="35CE5F17" w14:textId="77777777" w:rsidR="003103E6" w:rsidRPr="003103E6" w:rsidRDefault="003103E6" w:rsidP="00022F4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také nutné si uvědomit, že i globální dimenze impéria má své limity (dosah a šíře), není všeobjímající a schopna kontrolovat veškeré aspekty. Současně autorita impéria není neotřesitelná, ostatně jak je vidět na rozvoji antikolonialistického hnuti a bojů. Střet kultur nemusí a nedopadá vždy dominancí jedné, často je vyústěním kompromisní, hybridní řešení. </w:t>
      </w: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Jak příklad je tu uváděna misionářská činnost, která fungovala jednak jako podpora imperiální politiky, ale také vedla k jejímu zpochybňování. Křesťanství a Písmo se pak stává také prostředkem ke zpochybňování etnických nerovností. Misijní stanice je oslavována jako místo náboženské a kulturní transformace, ale reálně jsou zde stále patrné lokální zvyky a víra. (323-325)</w:t>
      </w:r>
    </w:p>
    <w:p w14:paraId="58901608" w14:textId="493D04E3" w:rsidR="003103E6" w:rsidRPr="003103E6" w:rsidRDefault="003103E6" w:rsidP="00022F4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Působení a ovlivňování nefunguje pouze směrem od impéria ke kolonii, nejde o jednostranný proces, ale vzájemnost. “New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models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labor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discipline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measurement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engendered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colonial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plantation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transplanted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factories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industrializing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.” (298) Autoři vychází z předpokladu, že formulování kulturních forem vyplývá z propojenosti a vzájemnosti vztahu říše-kolonie. Není to jen impérium, kdo tvoří globální, propojený svět. V důsledku toho poznamenávají, že role říše v utváření globálního nemusí být vždy určující, a je nutné se ptát po vzájemnosti vztahů. “To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degree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imperial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conditions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themselves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shaped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nonimperial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forces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?” (300)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Nejde tedy o dějiny impérií, které by nám měli osvětlit vytváření globálního, ale o studium imperiálních vztahů, forem propojenosti, vzájemné závislosti a nerovnosti. Také je nutno podotknout, že autoři nepracují s globalizací jako s nezbytným či přirozeným cílem všech dějin.</w:t>
      </w:r>
    </w:p>
    <w:p w14:paraId="5A735BA6" w14:textId="77777777" w:rsidR="003103E6" w:rsidRPr="003103E6" w:rsidRDefault="003103E6" w:rsidP="00022F4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Text je, vyjma úvodu, dělen do tří podkapitol. První část je věnována imperiálním říším jako tvůrcům prostoru, ve kterém se vzájemně prolínají kultury, zvyklosti a tradice. Zabývají se otázkami, jak hmotné prvky v krajině přeměňují kulturní vzorce kolonizovaných území. Například jak kasárna či misionářská stanice ovlivní chod místní společnosti, vytvoří nové vazby a spojí či rozdělí kultury. V závěru této podkapitoly se autoři zaměřili na vnímání společnosti v rodinách. Kolonialismus měl zásadní vliv na společnost kolonizovaných zemí nejen v obecné rovině, ale i v nižších jednotkách společnosti, jako například v rodinách a s nimi spojených domácnostech. Rodiny v koloniích často pokládaly společnost kolonizátorů za vzor, ať už samy od sebe nebo v rámci nějaké propagandy. Autoři si vybrali již tradičně příklad britské společnosti, kdy v 19. století často převládal v literatuře a celkově v umění obraz středostavovské rodiny, kde se muž stará o živobytí a žena o domácnost – jako jeden příklad za všechny je zde popsána představa ženy z evropské vyšší střední třídy nesoucí šálek čaje. (333–342) To byl údajně pro mnoho domácností v koloniích nedostižný ideální vzor. Jednou takovou rodinou, která zvládla tento přerod z tradiční indické rodiny, byla rodina W. C.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Bonnerjeeho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prvního prezidenta indického národního kongresu. Jeho domácnost se připodobnila domácnosti londýnské,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Bonnerjee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pořídil služebnictvo, aby se nelišil od vládnoucí vrstvy v Británii, dokonce se posléze přestěhoval z Indie přímo do Londýna a jeho dcerám se dostalo vzdělání na </w:t>
      </w: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anglických univerzitách. Jedna z jeho dcer byla na přelomu 19. a 20. století známou sufražetkou. (s. 343–347)</w:t>
      </w:r>
    </w:p>
    <w:p w14:paraId="168FDE0D" w14:textId="44F15E11" w:rsidR="003103E6" w:rsidRPr="003103E6" w:rsidRDefault="003103E6" w:rsidP="00022F4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Druhá část se věnuje už konkrétním zemím světa. Autoři se nejdříve vyjadřují k tomu, jak reagovaly jednotlivé podmaněné národy na přítomnost kolonizátorů v jejich zemích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naopak kolonizátoři na situaci v koloniích. Předně se evropské mocnosti (kapitola v zásadě navazuje na závěr předchozí a snaží se ukázat vliv Evropy na “méněcenné” země z jejího pohledu) zabývají snahou poevropštit neevropské země. Mocnosti se snaží vnést do jiné kultury kulturu evropskou, a tím poté dochází k ubírání na autentičnosti podmaněných národů. Je zmiňována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tribalizace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Aboridžinců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tedy jakési umělé vytváření kmenů tohoto původního národa usazeného v Austrálii v návaznosti na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rozborcení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tradičních kmenů, podobně jako se to dělo v Americe se zrušením tradiční kmenové společnosti indiánů a vytvořením umělých rezervací, které měly tyto kmeny nahrazovat. Rovněž je zmíněno boxerské povstání v Číně, kde se chtěli lidé ještě zavčas vzepřít blízkému úpadku jejich tradiční společnosti a nastolení společnosti “evropské”. (s. 348–352)</w:t>
      </w:r>
    </w:p>
    <w:p w14:paraId="28465E08" w14:textId="77777777" w:rsidR="003103E6" w:rsidRPr="003103E6" w:rsidRDefault="003103E6" w:rsidP="00022F4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Dále se tato podkapitola zabývá novými technologiemi, jejichž vývoj a nasazení vedly ke zrychlení dopravy (lokomotiva, parníky), komunikace (telegraf) a v důsledku tohoto všeho i ke zrychlení ekonomiky. Globalizace tak nabrala na obrátkách – najednou bylo vše dosažitelnější, bližší a také snazší. Přelomovými stavbami byly vodní kanály – Suezský a Panamský, které usnadnily export a import mnoha zemím světa. Podél Suezu vedl dokonce do Indie telegraf. Tím vzniká ve své podstatě nová verze imperialismu. Mocnosti staví svůj zisk a moc na nových technologiích a získávají tím rychlejší ekonomický obrat a u některých národů možná i jistou jejich náklonnost. (s. 352–363)</w:t>
      </w:r>
    </w:p>
    <w:p w14:paraId="2E92336C" w14:textId="77777777" w:rsidR="003103E6" w:rsidRPr="003103E6" w:rsidRDefault="003103E6" w:rsidP="00022F4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Samostatným tématem jsou zde potom vojenské technologie a celkově inovace ve vojenství. Tím se staly mocnosti v podstatě neporazitelné a veškerý odpor v koloniích byl tak minimalizovaný na nejmenší možnou míru. Britské impérium si platnost předešlé věty mohlo vyzkoušet například během války se Zului v Africe. Jeden důstojník dokonce pronesl při zhodnocení jedné vítězné bitvy v anglické sněmovně poměrně zajímavou větu, která vše vystihuje: “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Whatever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happens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got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Maxim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gun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not.” (s. 363–366)</w:t>
      </w:r>
    </w:p>
    <w:p w14:paraId="4E1020DB" w14:textId="298026BF" w:rsidR="003103E6" w:rsidRPr="003103E6" w:rsidRDefault="003103E6" w:rsidP="00022F4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Japonsko může být zmíněno jako příklad státu, který si zavčas tyto nové technologie osvojil a začal se rychle vyvíjet. Netrvalo dlouho a zařadilo se tak mezi státy s moderní identitou. V podstatě se přes noc se zemědělského Japonska stalo Japonsko průmyslové. Rusko-japonská válka pak jen potvrdila, že se vydává "správným" směrem. (s. 366–373)</w:t>
      </w:r>
      <w:r w:rsidR="00022F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Pokrok země </w:t>
      </w: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vycházejícího slunce byl atraktivním modelem pro Osmanskou říši. Na přelomu století tak vznikaly sultánem posvěcené projekty jako dálková železnice mezi Damaškem, Medinou a Mekkou, která měla sloužit primárně pro poutníky. (s. 373–378)</w:t>
      </w:r>
    </w:p>
    <w:p w14:paraId="5BC94327" w14:textId="2EE1A0CE" w:rsidR="003103E6" w:rsidRPr="003103E6" w:rsidRDefault="003103E6" w:rsidP="00022F4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Naproti tomu technologie, ale zejména infrastr</w:t>
      </w:r>
      <w:r w:rsidR="00022F49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ktura a komunikace mohou být </w:t>
      </w:r>
      <w:r w:rsidR="00022F49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a byl</w:t>
      </w:r>
      <w:r w:rsidR="00022F49">
        <w:rPr>
          <w:rFonts w:ascii="Times New Roman" w:eastAsia="Times New Roman" w:hAnsi="Times New Roman" w:cs="Times New Roman"/>
          <w:sz w:val="24"/>
          <w:szCs w:val="24"/>
          <w:lang w:eastAsia="cs-CZ"/>
        </w:rPr>
        <w:t>y)</w:t>
      </w: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předmětem kritiky (například železnice je Gándhím a dalšími kritiky zobrazována jako nástroj moci a zla způsobujíc morální a náboženským úpadek) nebo fyzického odporu (od rozebírání železnic až po otevřený konflikt u Beduínů). (385-386) Autoři však tvrdí, že právě tyto technologie se staly nástrojem formování nové prostorové struktury, sjednocení různorodého obyvatelstva, vzniku národních myšlenek a identity</w:t>
      </w:r>
      <w:r w:rsidR="006F6F6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32227F4" w14:textId="2150C868" w:rsidR="003103E6" w:rsidRPr="003103E6" w:rsidRDefault="003103E6" w:rsidP="00022F4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třetí podkapitole se autoři snaží vykreslit rozmezí let 1870-1945 jako období formování národních, koloniálních, imperiálních, anti-imperiálních a nadnárodních vazeb a spojení. Za klíčovou událost k pochopení koloniálních střetů a dekolonizace považují konferenci v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Bandugu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roce 1947 společně s lety předcházejícími. Ačkoliv mnozí badatelé vidí počátek dekolonizačních snah, nadnárodních vztahů a solidarity v druhé světové válce či v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Bandugu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 autory této kapitoly jsou tyto události spíše jakýmsi vyvrcholením předcházející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interkoloniální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spolupráce, neshod a spojení. (390-391)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Ballantyne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Burton nám předkládají období před rokem 1915 jako dobu anti-imperiálních střetů různého charakteru (i násilné formy jako atentáty a otevřené konflikty), které se odehrávají na politické úrovni i v každodenním životě. Tyto střety jsou vyvolávány jak osobnostmi z řad elity kolonizovaných území i impéria samotného, tak nižšími společenskými třídami. Zároveň nepopírají, že klíčové události (jako Pařížská mírová konference po první světové válce) byly obdobím změny světového pořádku a globální politiky, tedy jakýmsi katalyzátorem pro anti-imperialistická hnutí a vytváření nových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mezikoloniálních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transkoloniálních</w:t>
      </w:r>
      <w:proofErr w:type="spellEnd"/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vztahů. (418) Zároveň také tvrdí, že tyto vazby a snahy mají za sebou již dlouhodobou historii a </w:t>
      </w:r>
      <w:r w:rsidR="00022F49">
        <w:rPr>
          <w:rFonts w:ascii="Times New Roman" w:eastAsia="Times New Roman" w:hAnsi="Times New Roman" w:cs="Times New Roman"/>
          <w:sz w:val="24"/>
          <w:szCs w:val="24"/>
          <w:lang w:eastAsia="cs-CZ"/>
        </w:rPr>
        <w:t>de facto</w:t>
      </w: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nejsou ničím novým.</w:t>
      </w:r>
    </w:p>
    <w:p w14:paraId="17E7E2F6" w14:textId="7C781D95" w:rsidR="00D666A5" w:rsidRPr="00DC4273" w:rsidRDefault="003103E6" w:rsidP="00022F4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Poslední, neméně důležitá myšlenka, kterou nám chtějí v závěru sdělit, je nutnost studovat problematiku v p</w:t>
      </w:r>
      <w:r w:rsidR="00022F49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>né míře, zachytit komplexitu imperiálních střetů, dokonce i prchavé, náhodné, záměrné a občas i nepravděpodobné propojení. Protože práv</w:t>
      </w:r>
      <w:r w:rsidR="00022F49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310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rekonstrukcí spojení mezi lokálními boji a globálními strukturami, zkoumáním událostí v celém prostoru a čase si uvědomíme složitou strukturu globálních vztahů a jejich důsledků. (431)</w:t>
      </w:r>
    </w:p>
    <w:sectPr w:rsidR="00D666A5" w:rsidRPr="00DC42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58DD9" w14:textId="77777777" w:rsidR="007D4866" w:rsidRDefault="007D4866" w:rsidP="003103E6">
      <w:pPr>
        <w:spacing w:after="0" w:line="240" w:lineRule="auto"/>
      </w:pPr>
      <w:r>
        <w:separator/>
      </w:r>
    </w:p>
  </w:endnote>
  <w:endnote w:type="continuationSeparator" w:id="0">
    <w:p w14:paraId="0826244E" w14:textId="77777777" w:rsidR="007D4866" w:rsidRDefault="007D4866" w:rsidP="0031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65589" w14:textId="77777777" w:rsidR="007D4866" w:rsidRDefault="007D4866" w:rsidP="003103E6">
      <w:pPr>
        <w:spacing w:after="0" w:line="240" w:lineRule="auto"/>
      </w:pPr>
      <w:r>
        <w:separator/>
      </w:r>
    </w:p>
  </w:footnote>
  <w:footnote w:type="continuationSeparator" w:id="0">
    <w:p w14:paraId="0D7291DA" w14:textId="77777777" w:rsidR="007D4866" w:rsidRDefault="007D4866" w:rsidP="0031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A5467" w14:textId="47F80738" w:rsidR="003103E6" w:rsidRDefault="003103E6">
    <w:pPr>
      <w:pStyle w:val="Zhlav"/>
    </w:pPr>
    <w:r>
      <w:tab/>
    </w:r>
    <w:r>
      <w:tab/>
      <w:t xml:space="preserve">Anna </w:t>
    </w:r>
    <w:proofErr w:type="spellStart"/>
    <w:r>
      <w:t>Andrisová</w:t>
    </w:r>
    <w:proofErr w:type="spellEnd"/>
    <w:r>
      <w:t xml:space="preserve">, Martin </w:t>
    </w:r>
    <w:proofErr w:type="spellStart"/>
    <w:r>
      <w:t>Firon</w:t>
    </w:r>
    <w:proofErr w:type="spellEnd"/>
    <w:r>
      <w:t>, Kristýna Maryšková</w:t>
    </w:r>
  </w:p>
  <w:p w14:paraId="1E11E03B" w14:textId="19F805C3" w:rsidR="003103E6" w:rsidRDefault="003103E6">
    <w:pPr>
      <w:pStyle w:val="Zhlav"/>
    </w:pPr>
    <w:r>
      <w:tab/>
    </w:r>
    <w:r>
      <w:tab/>
      <w:t>HIB054n</w:t>
    </w:r>
  </w:p>
  <w:p w14:paraId="5B01D897" w14:textId="77777777" w:rsidR="00022F49" w:rsidRDefault="00022F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73"/>
    <w:rsid w:val="00022F49"/>
    <w:rsid w:val="00275C42"/>
    <w:rsid w:val="003103E6"/>
    <w:rsid w:val="006F6F63"/>
    <w:rsid w:val="007D4866"/>
    <w:rsid w:val="008E23EF"/>
    <w:rsid w:val="009E653A"/>
    <w:rsid w:val="00A21F3C"/>
    <w:rsid w:val="00D666A5"/>
    <w:rsid w:val="00D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7078"/>
  <w15:chartTrackingRefBased/>
  <w15:docId w15:val="{A4517178-7730-40F0-A106-18979BE1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C42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C42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DC4273"/>
  </w:style>
  <w:style w:type="paragraph" w:styleId="Zhlav">
    <w:name w:val="header"/>
    <w:basedOn w:val="Normln"/>
    <w:link w:val="ZhlavChar"/>
    <w:uiPriority w:val="99"/>
    <w:unhideWhenUsed/>
    <w:rsid w:val="0031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03E6"/>
  </w:style>
  <w:style w:type="paragraph" w:styleId="Zpat">
    <w:name w:val="footer"/>
    <w:basedOn w:val="Normln"/>
    <w:link w:val="ZpatChar"/>
    <w:uiPriority w:val="99"/>
    <w:unhideWhenUsed/>
    <w:rsid w:val="0031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1566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Maryšková</dc:creator>
  <cp:keywords/>
  <dc:description/>
  <cp:lastModifiedBy>Jiří Němec</cp:lastModifiedBy>
  <cp:revision>2</cp:revision>
  <dcterms:created xsi:type="dcterms:W3CDTF">2021-02-01T10:25:00Z</dcterms:created>
  <dcterms:modified xsi:type="dcterms:W3CDTF">2021-02-01T10:25:00Z</dcterms:modified>
</cp:coreProperties>
</file>