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Футур други</w:t>
      </w:r>
    </w:p>
    <w:p>
      <w:pPr>
        <w:pStyle w:val="Normal"/>
        <w:rPr/>
      </w:pPr>
      <w:r>
        <w:rPr>
          <w:lang w:val="ru-RU"/>
        </w:rPr>
        <w:t>Футур други</w:t>
      </w:r>
      <w:r>
        <w:rPr/>
        <w:t> </w:t>
      </w:r>
      <w:r>
        <w:rPr>
          <w:lang w:val="ru-RU"/>
        </w:rPr>
        <w:t>је лични</w:t>
      </w:r>
      <w:r>
        <w:rPr/>
        <w:t> </w:t>
      </w:r>
      <w:r>
        <w:rPr>
          <w:lang w:val="ru-RU"/>
        </w:rPr>
        <w:t>глаголски</w:t>
      </w:r>
      <w:r>
        <w:rPr/>
        <w:t> </w:t>
      </w:r>
      <w:r>
        <w:rPr>
          <w:lang w:val="ru-RU"/>
        </w:rPr>
        <w:t>облик који најчешће означава будућу радњу која ће се извршити пр</w:t>
      </w:r>
      <w:r>
        <w:rPr/>
        <w:t>e</w:t>
      </w:r>
      <w:r>
        <w:rPr>
          <w:lang w:val="ru-RU"/>
        </w:rPr>
        <w:t xml:space="preserve">, после или истовремено са неком другом будућом радњом. Пошто обично изказује радњу која претходи некој другој радњи, футур други се назива и </w:t>
      </w:r>
      <w:r>
        <w:rPr>
          <w:i/>
          <w:iCs/>
          <w:lang w:val="ru-RU"/>
        </w:rPr>
        <w:t>предбудуће време.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Грађење</w:t>
      </w:r>
    </w:p>
    <w:p>
      <w:pPr>
        <w:pStyle w:val="Normal"/>
        <w:rPr>
          <w:lang w:val="ru-RU"/>
        </w:rPr>
      </w:pPr>
      <w:r>
        <w:rPr>
          <w:lang w:val="ru-RU"/>
        </w:rPr>
        <w:t>Футур други се гради од презента глагола „бити“ (будем, будеш...) и радног глаголског придева глагола који се мења.</w:t>
      </w:r>
    </w:p>
    <w:p>
      <w:pPr>
        <w:pStyle w:val="Normal"/>
        <w:rPr/>
      </w:pPr>
      <w:r>
        <w:rPr/>
        <w:t>Футур други глагола „радити“:</w:t>
      </w:r>
    </w:p>
    <w:tbl>
      <w:tblPr>
        <w:tblW w:w="4320" w:type="dxa"/>
        <w:jc w:val="left"/>
        <w:tblInd w:w="-14" w:type="dxa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044"/>
        <w:gridCol w:w="2276"/>
      </w:tblGrid>
      <w:tr>
        <w:trPr>
          <w:trHeight w:val="524" w:hRule="atLeast"/>
        </w:trPr>
        <w:tc>
          <w:tcPr>
            <w:tcW w:w="20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fill="E7EBEE" w:val="clear"/>
            <w:vAlign w:val="center"/>
          </w:tcPr>
          <w:p>
            <w:pPr>
              <w:pStyle w:val="Normal"/>
              <w:spacing w:lineRule="atLeast" w:line="288" w:before="0" w:after="30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Једнина</w:t>
            </w:r>
          </w:p>
        </w:tc>
        <w:tc>
          <w:tcPr>
            <w:tcW w:w="2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E7EBEE" w:val="clear"/>
            <w:vAlign w:val="center"/>
          </w:tcPr>
          <w:p>
            <w:pPr>
              <w:pStyle w:val="Normal"/>
              <w:spacing w:lineRule="atLeast" w:line="288" w:before="0" w:after="30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Множина</w:t>
            </w:r>
          </w:p>
        </w:tc>
      </w:tr>
      <w:tr>
        <w:trPr>
          <w:trHeight w:val="524" w:hRule="atLeast"/>
        </w:trPr>
        <w:tc>
          <w:tcPr>
            <w:tcW w:w="20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fill="F9F9F9" w:val="clear"/>
            <w:vAlign w:val="center"/>
          </w:tcPr>
          <w:p>
            <w:pPr>
              <w:pStyle w:val="Normal"/>
              <w:spacing w:lineRule="atLeast" w:line="288" w:before="0" w:after="3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будем радио/-ла/-ло</w:t>
            </w:r>
          </w:p>
        </w:tc>
        <w:tc>
          <w:tcPr>
            <w:tcW w:w="2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F9F9F9" w:val="clear"/>
            <w:vAlign w:val="center"/>
          </w:tcPr>
          <w:p>
            <w:pPr>
              <w:pStyle w:val="Normal"/>
              <w:spacing w:lineRule="atLeast" w:line="288" w:before="0" w:after="3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будемо радили/-ле/-ла</w:t>
            </w:r>
          </w:p>
        </w:tc>
      </w:tr>
      <w:tr>
        <w:trPr>
          <w:trHeight w:val="524" w:hRule="atLeast"/>
        </w:trPr>
        <w:tc>
          <w:tcPr>
            <w:tcW w:w="20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fill="F9F9F9" w:val="clear"/>
            <w:vAlign w:val="center"/>
          </w:tcPr>
          <w:p>
            <w:pPr>
              <w:pStyle w:val="Normal"/>
              <w:spacing w:lineRule="atLeast" w:line="288" w:before="0" w:after="3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будеш радио/-ла/-ло</w:t>
            </w:r>
          </w:p>
        </w:tc>
        <w:tc>
          <w:tcPr>
            <w:tcW w:w="2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F9F9F9" w:val="clear"/>
            <w:vAlign w:val="center"/>
          </w:tcPr>
          <w:p>
            <w:pPr>
              <w:pStyle w:val="Normal"/>
              <w:spacing w:lineRule="atLeast" w:line="288" w:before="0" w:after="3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будете радили/-ле/-ла</w:t>
            </w:r>
          </w:p>
        </w:tc>
      </w:tr>
      <w:tr>
        <w:trPr>
          <w:trHeight w:val="524" w:hRule="atLeast"/>
        </w:trPr>
        <w:tc>
          <w:tcPr>
            <w:tcW w:w="20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fill="F9F9F9" w:val="clear"/>
            <w:vAlign w:val="center"/>
          </w:tcPr>
          <w:p>
            <w:pPr>
              <w:pStyle w:val="Normal"/>
              <w:spacing w:lineRule="atLeast" w:line="288" w:before="0" w:after="3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буде радио/-ла/-ло</w:t>
            </w:r>
          </w:p>
        </w:tc>
        <w:tc>
          <w:tcPr>
            <w:tcW w:w="2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F9F9F9" w:val="clear"/>
            <w:vAlign w:val="center"/>
          </w:tcPr>
          <w:p>
            <w:pPr>
              <w:pStyle w:val="Normal"/>
              <w:spacing w:lineRule="atLeast" w:line="288" w:before="0" w:after="3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буду радили/-ле/-ла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  <w:t>Потенцијал и футур II</w:t>
      </w:r>
    </w:p>
    <w:p>
      <w:pPr>
        <w:pStyle w:val="Normal"/>
        <w:rPr>
          <w:lang w:val="ru-RU"/>
        </w:rPr>
      </w:pPr>
      <w:r>
        <w:rPr>
          <w:lang w:val="ru-RU"/>
        </w:rPr>
        <w:t>потенцијал:                                                      футур II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БИХ ПЕВАО                                                   БУДЕМ ПЕВАО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БИ ПЕВАО                                                      БУДЕШ ПЕВАО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БИ ПЕВАО                                                      БУДЕ ПЕВАО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БИСМО ПЕВАЛИ                                        БУДЕМО ПЕВАЛИ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БИСТЕ ПЕВАЛИ                                          БУДЕТЕ ПЕВАЛИ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БИ ПЕВАЛИ                                                  БУДУ ПЕВАЛИ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Често се греши приликом употребе потенцијала, па се помоћни глагол пише одвојено или се користи БИ за сва лица, а неретко је и неразликовање горе наведена два глаголска облика</w:t>
      </w:r>
    </w:p>
    <w:p>
      <w:pPr>
        <w:pStyle w:val="Normal"/>
        <w:rPr/>
      </w:pPr>
      <w:r>
        <w:rPr>
          <w:lang w:val="ru-RU"/>
        </w:rPr>
        <w:t xml:space="preserve">потенцијал </w:t>
      </w:r>
      <w:r>
        <w:rPr>
          <w:lang w:val="sr-RS"/>
        </w:rPr>
        <w:t xml:space="preserve">може бити </w:t>
      </w:r>
      <w:r>
        <w:rPr>
          <w:lang w:val="ru-RU"/>
        </w:rPr>
        <w:t>нека жеља:</w:t>
      </w:r>
    </w:p>
    <w:p>
      <w:pPr>
        <w:pStyle w:val="Normal"/>
        <w:rPr>
          <w:lang w:val="ru-RU"/>
        </w:rPr>
      </w:pPr>
      <w:r>
        <w:rPr>
          <w:lang w:val="ru-RU"/>
        </w:rPr>
        <w:t>Шта бисте желели, волели да добијете од Деда Мраза? – Ја бих желео …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Шта би ти уписао? – Ја бих уписао… Ово су жеље, а могућности често нису исте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  <w:t>A</w:t>
      </w:r>
      <w:r>
        <w:rPr>
          <w:lang w:val="ru-RU"/>
        </w:rPr>
        <w:t>ко има могућности, ако смо мало сигурнији у извесност неке будуће радње, рећи ћемо: Кад будем добио… или Кад будем уписао…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  <w:t>Измените глаголе кроз сва три лица једнине и множине футура II:</w:t>
      </w:r>
    </w:p>
    <w:p>
      <w:pPr>
        <w:pStyle w:val="Normal"/>
        <w:rPr>
          <w:lang w:val="ru-RU"/>
        </w:rPr>
      </w:pPr>
      <w:r>
        <w:rPr>
          <w:lang w:val="ru-RU"/>
        </w:rPr>
        <w:t>осветити се, понети, растати се, тражити, уговорити, радовати се, моћи, сести, озепсти</w:t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  <w:t>Допуните одговарајућим обликом глагола бити:</w:t>
      </w:r>
    </w:p>
    <w:p>
      <w:pPr>
        <w:pStyle w:val="Normal"/>
        <w:rPr>
          <w:lang w:val="ru-RU"/>
        </w:rPr>
      </w:pPr>
      <w:r>
        <w:rPr>
          <w:lang w:val="ru-RU"/>
        </w:rPr>
        <w:t>Ако будете вредни, добићете чоколаду.</w:t>
      </w:r>
    </w:p>
    <w:p>
      <w:pPr>
        <w:pStyle w:val="Normal"/>
        <w:rPr>
          <w:lang w:val="ru-RU"/>
        </w:rPr>
      </w:pPr>
      <w:r>
        <w:rPr>
          <w:lang w:val="ru-RU"/>
        </w:rPr>
        <w:t>Чим____________ здрави, устаћете из постеље.</w:t>
      </w:r>
    </w:p>
    <w:p>
      <w:pPr>
        <w:pStyle w:val="Normal"/>
        <w:rPr>
          <w:lang w:val="ru-RU"/>
        </w:rPr>
      </w:pPr>
      <w:r>
        <w:rPr>
          <w:lang w:val="ru-RU"/>
        </w:rPr>
        <w:t>Ако ____________ готов са послом, доћи ћеш код нас.</w:t>
      </w:r>
    </w:p>
    <w:p>
      <w:pPr>
        <w:pStyle w:val="Normal"/>
        <w:rPr>
          <w:lang w:val="ru-RU"/>
        </w:rPr>
      </w:pPr>
      <w:r>
        <w:rPr>
          <w:lang w:val="ru-RU"/>
        </w:rPr>
        <w:t>Кад ____________ спремни за пут, позваћемо за вас такси.</w:t>
      </w:r>
    </w:p>
    <w:p>
      <w:pPr>
        <w:pStyle w:val="Normal"/>
        <w:rPr>
          <w:lang w:val="ru-RU"/>
        </w:rPr>
      </w:pPr>
      <w:r>
        <w:rPr>
          <w:lang w:val="ru-RU"/>
        </w:rPr>
        <w:t>Кад ____________ завршили час, ићи ћемо сви кући.</w:t>
      </w:r>
    </w:p>
    <w:p>
      <w:pPr>
        <w:pStyle w:val="Normal"/>
        <w:rPr>
          <w:lang w:val="ru-RU"/>
        </w:rPr>
      </w:pPr>
      <w:r>
        <w:rPr>
          <w:lang w:val="ru-RU"/>
        </w:rPr>
        <w:t>Ко ____________ одличан ученик, отићи ће на море.</w:t>
      </w:r>
    </w:p>
    <w:p>
      <w:pPr>
        <w:pStyle w:val="Normal"/>
        <w:rPr>
          <w:lang w:val="ru-RU"/>
        </w:rPr>
      </w:pPr>
      <w:r>
        <w:rPr>
          <w:lang w:val="ru-RU"/>
        </w:rPr>
        <w:t>Кад ____________ болесни, позваћемо познатог лекара.</w:t>
      </w:r>
    </w:p>
    <w:p>
      <w:pPr>
        <w:pStyle w:val="Normal"/>
        <w:rPr>
          <w:lang w:val="ru-RU"/>
        </w:rPr>
      </w:pPr>
      <w:r>
        <w:rPr>
          <w:lang w:val="ru-RU"/>
        </w:rPr>
        <w:t>Чим ____________ уморни, реците нам.</w:t>
      </w:r>
    </w:p>
    <w:p>
      <w:pPr>
        <w:pStyle w:val="Normal"/>
        <w:rPr>
          <w:lang w:val="ru-RU"/>
        </w:rPr>
      </w:pPr>
      <w:r>
        <w:rPr>
          <w:lang w:val="ru-RU"/>
        </w:rPr>
        <w:t>Ако ____________ деца добра, ићи ће да виде нови дечји филм.</w:t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  <w:t>Допуните одговарајућим обликом како помоћног тако и главног глагола:</w:t>
      </w:r>
    </w:p>
    <w:p>
      <w:pPr>
        <w:pStyle w:val="Normal"/>
        <w:rPr>
          <w:lang w:val="ru-RU"/>
        </w:rPr>
      </w:pPr>
      <w:r>
        <w:rPr>
          <w:lang w:val="ru-RU"/>
        </w:rPr>
        <w:t>Ко____________________(радити) на пољу, добиће награду.</w:t>
      </w:r>
    </w:p>
    <w:p>
      <w:pPr>
        <w:pStyle w:val="Normal"/>
        <w:rPr>
          <w:lang w:val="ru-RU"/>
        </w:rPr>
      </w:pPr>
      <w:r>
        <w:rPr>
          <w:lang w:val="ru-RU"/>
        </w:rPr>
        <w:t>Кад____________________(знати) ко ради најбоље, саопштиће нам.</w:t>
      </w:r>
    </w:p>
    <w:p>
      <w:pPr>
        <w:pStyle w:val="Normal"/>
        <w:rPr>
          <w:lang w:val="ru-RU"/>
        </w:rPr>
      </w:pPr>
      <w:r>
        <w:rPr>
          <w:lang w:val="ru-RU"/>
        </w:rPr>
        <w:t>Ако____________________(пријавити се) да уче занат, добиће алат.</w:t>
      </w:r>
    </w:p>
    <w:p>
      <w:pPr>
        <w:pStyle w:val="Normal"/>
        <w:rPr>
          <w:lang w:val="ru-RU"/>
        </w:rPr>
      </w:pPr>
      <w:r>
        <w:rPr>
          <w:lang w:val="ru-RU"/>
        </w:rPr>
        <w:t>Док ви____________________(певати), ми ћемо се одмарати.</w:t>
      </w:r>
    </w:p>
    <w:p>
      <w:pPr>
        <w:pStyle w:val="Normal"/>
        <w:rPr>
          <w:lang w:val="ru-RU"/>
        </w:rPr>
      </w:pPr>
      <w:r>
        <w:rPr>
          <w:lang w:val="ru-RU"/>
        </w:rPr>
        <w:t>Пошто____________________(ручати), наручићете црну кафу.</w:t>
      </w:r>
    </w:p>
    <w:p>
      <w:pPr>
        <w:pStyle w:val="Normal"/>
        <w:rPr>
          <w:lang w:val="ru-RU"/>
        </w:rPr>
      </w:pPr>
      <w:r>
        <w:rPr>
          <w:lang w:val="ru-RU"/>
        </w:rPr>
        <w:t>Кад ми____________________(чекати) пред благајном, купићемо карту и за вас.</w:t>
      </w:r>
    </w:p>
    <w:p>
      <w:pPr>
        <w:pStyle w:val="Normal"/>
        <w:rPr>
          <w:lang w:val="ru-RU"/>
        </w:rPr>
      </w:pPr>
      <w:r>
        <w:rPr>
          <w:lang w:val="ru-RU"/>
        </w:rPr>
        <w:t>Чим____________________(завршити) посао, доћи ћете у биоскоп.</w:t>
      </w:r>
    </w:p>
    <w:p>
      <w:pPr>
        <w:pStyle w:val="Normal"/>
        <w:rPr>
          <w:lang w:val="ru-RU"/>
        </w:rPr>
      </w:pPr>
      <w:r>
        <w:rPr>
          <w:lang w:val="ru-RU"/>
        </w:rPr>
        <w:t>Кад____________________(добити) прву награду, биће пресрећни.</w:t>
      </w:r>
    </w:p>
    <w:p>
      <w:pPr>
        <w:pStyle w:val="Normal"/>
        <w:rPr>
          <w:lang w:val="ru-RU"/>
        </w:rPr>
      </w:pPr>
      <w:r>
        <w:rPr>
          <w:lang w:val="ru-RU"/>
        </w:rPr>
        <w:t>Кад____________________(снимити) свој први филм, ти ћеш нам га показати.</w:t>
      </w:r>
    </w:p>
    <w:p>
      <w:pPr>
        <w:pStyle w:val="Normal"/>
        <w:rPr>
          <w:lang w:val="ru-RU"/>
        </w:rPr>
      </w:pPr>
      <w:r>
        <w:rPr>
          <w:lang w:val="ru-RU"/>
        </w:rPr>
        <w:t>Ако____________________(појавити се) талентована генерација, имаћемо лепе филмове.</w:t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  <w:t>Речи у заградама ставите у футур II:</w:t>
      </w:r>
    </w:p>
    <w:p>
      <w:pPr>
        <w:pStyle w:val="Normal"/>
        <w:rPr>
          <w:lang w:val="ru-RU"/>
        </w:rPr>
      </w:pPr>
      <w:r>
        <w:rPr>
          <w:lang w:val="ru-RU"/>
        </w:rPr>
        <w:t>Ако (радити), имаћеш доста новца. – Они ће доћи чим (завршити) посао. – Кад (доћи) у Праг, обиђите нас. – Ако (купати се) сваки дан, бићете здрави. – Ако не (говорити) српски, нећете моћи ништа да купите у Зрењанину. – Кад се ви (одморити), они ће доћи код вас. – Кад (знати)где ћемо провести лето, написаћемо вам. – Ако (допутовати) гости, ми ћемо их лепо примити. – Чим (наћи) своју књигу, ти ћеш је прочитати. – Кад ви (имати) нови стан, ви ћете купити нови намештај. – Ако (учествовати) на такмичењу, радићете вредно. – Кад (прелазити) преко моста, видећемо риболовце. – Кад деца (ићи) кроз шуму, она ће да певају.</w:t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  <w:t>Измените реченице као у примеру:</w:t>
      </w:r>
    </w:p>
    <w:p>
      <w:pPr>
        <w:pStyle w:val="Normal"/>
        <w:rPr>
          <w:lang w:val="ru-RU"/>
        </w:rPr>
      </w:pPr>
      <w:r>
        <w:rPr>
          <w:lang w:val="ru-RU"/>
        </w:rPr>
        <w:t>Они читају новине. – ти им не (говорити) ништа.</w:t>
      </w:r>
    </w:p>
    <w:p>
      <w:pPr>
        <w:pStyle w:val="Normal"/>
        <w:rPr>
          <w:lang w:val="ru-RU"/>
        </w:rPr>
      </w:pPr>
      <w:r>
        <w:rPr>
          <w:lang w:val="ru-RU"/>
        </w:rPr>
        <w:t>Док буду читали новине, немој им ништа говорити.</w:t>
      </w:r>
    </w:p>
    <w:p>
      <w:pPr>
        <w:pStyle w:val="Normal"/>
        <w:rPr>
          <w:lang w:val="ru-RU"/>
        </w:rPr>
      </w:pPr>
      <w:r>
        <w:rPr>
          <w:lang w:val="ru-RU"/>
        </w:rPr>
        <w:t>Он ради у башти. – ви га не (звати).</w:t>
      </w:r>
    </w:p>
    <w:p>
      <w:pPr>
        <w:pStyle w:val="Normal"/>
        <w:rPr>
          <w:lang w:val="ru-RU"/>
        </w:rPr>
      </w:pPr>
      <w:r>
        <w:rPr>
          <w:lang w:val="ru-RU"/>
        </w:rPr>
        <w:t>Она спрема ручак. – ви њој не (сметати).</w:t>
      </w:r>
    </w:p>
    <w:p>
      <w:pPr>
        <w:pStyle w:val="Normal"/>
        <w:rPr>
          <w:lang w:val="ru-RU"/>
        </w:rPr>
      </w:pPr>
      <w:r>
        <w:rPr>
          <w:lang w:val="ru-RU"/>
        </w:rPr>
        <w:t>Младићи и девојке певају на прослави. – ви их не (чекати).</w:t>
      </w:r>
    </w:p>
    <w:p>
      <w:pPr>
        <w:pStyle w:val="Normal"/>
        <w:rPr>
          <w:lang w:val="ru-RU"/>
        </w:rPr>
      </w:pPr>
      <w:r>
        <w:rPr>
          <w:lang w:val="ru-RU"/>
        </w:rPr>
        <w:t>Продавнице су затворене. – ви не (стајати) испред њих.</w:t>
      </w:r>
    </w:p>
    <w:p>
      <w:pPr>
        <w:pStyle w:val="Normal"/>
        <w:rPr>
          <w:lang w:val="ru-RU"/>
        </w:rPr>
      </w:pPr>
      <w:r>
        <w:rPr>
          <w:lang w:val="ru-RU"/>
        </w:rPr>
        <w:t>Ми ручамо у студентској мензи. – ви нас не (чекати).</w:t>
      </w:r>
    </w:p>
    <w:p>
      <w:pPr>
        <w:pStyle w:val="Normal"/>
        <w:rPr>
          <w:lang w:val="ru-RU"/>
        </w:rPr>
      </w:pPr>
      <w:r>
        <w:rPr>
          <w:lang w:val="ru-RU"/>
        </w:rPr>
        <w:t>Ви купујете намештај за стан. – не (заборавити) нас позвати.</w:t>
      </w:r>
    </w:p>
    <w:p>
      <w:pPr>
        <w:pStyle w:val="Normal"/>
        <w:rPr>
          <w:lang w:val="ru-RU"/>
        </w:rPr>
      </w:pPr>
      <w:r>
        <w:rPr>
          <w:lang w:val="ru-RU"/>
        </w:rPr>
        <w:t>Они траже књигу. – ви не (заборавити) да идете на састанак.</w:t>
      </w:r>
    </w:p>
    <w:sectPr>
      <w:type w:val="nextPage"/>
      <w:pgSz w:w="12240" w:h="15840"/>
      <w:pgMar w:left="1440" w:right="1440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ar-SA"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28</TotalTime>
  <Application>LibreOffice/6.3.6.2$Linux_X86_64 LibreOffice_project/30$Build-2</Application>
  <Pages>4</Pages>
  <Words>547</Words>
  <Characters>3166</Characters>
  <CharactersWithSpaces>4013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2013-03-25T10:41:00Z</dcterms:created>
  <dc:creator>Win7</dc:creator>
  <dc:description/>
  <dc:language>en-US</dc:language>
  <cp:lastModifiedBy/>
  <cp:lastPrinted>1995-11-21T17:41:00Z</cp:lastPrinted>
  <dcterms:modified xsi:type="dcterms:W3CDTF">2020-11-12T17:55:07Z</dcterms:modified>
  <cp:revision>2</cp:revision>
  <dc:subject/>
  <dc:title>Футур други</dc:title>
</cp:coreProperties>
</file>