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A12D" w14:textId="0072A549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b/>
          <w:bCs/>
          <w:sz w:val="24"/>
          <w:szCs w:val="24"/>
        </w:rPr>
        <w:t>Požadavky ke kolokviu (HIAK</w:t>
      </w:r>
      <w:r w:rsidR="00D3710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72350">
        <w:rPr>
          <w:rFonts w:ascii="Times New Roman" w:hAnsi="Times New Roman" w:cs="Times New Roman"/>
          <w:b/>
          <w:bCs/>
          <w:sz w:val="24"/>
          <w:szCs w:val="24"/>
        </w:rPr>
        <w:t xml:space="preserve"> 106c):</w:t>
      </w:r>
    </w:p>
    <w:p w14:paraId="4E26071A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> </w:t>
      </w:r>
    </w:p>
    <w:p w14:paraId="23EB3C6D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>1.</w:t>
      </w:r>
    </w:p>
    <w:p w14:paraId="1279DC1F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>Vybrat si z přiloženého seznamu tři práce, tyto přečíst a napsat anotace, každou v rozsahu nejméně 2 normostran.</w:t>
      </w:r>
    </w:p>
    <w:p w14:paraId="67FE3F6A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> </w:t>
      </w:r>
    </w:p>
    <w:p w14:paraId="1FD3C184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Michail M. BACHTIN,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Francois Rabelais a lidová kultura středověku a renesance</w:t>
      </w:r>
      <w:r w:rsidRPr="00A72350">
        <w:rPr>
          <w:rFonts w:ascii="Times New Roman" w:hAnsi="Times New Roman" w:cs="Times New Roman"/>
          <w:sz w:val="24"/>
          <w:szCs w:val="24"/>
        </w:rPr>
        <w:t>, Praha 2007.</w:t>
      </w:r>
    </w:p>
    <w:p w14:paraId="19B3B009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Marc BLOCH,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Králové divotvůrci. Studie o nadpřirozenosti přisuzované královské moci, zejména ve Francii a Anglii</w:t>
      </w:r>
      <w:r w:rsidRPr="00A72350">
        <w:rPr>
          <w:rFonts w:ascii="Times New Roman" w:hAnsi="Times New Roman" w:cs="Times New Roman"/>
          <w:sz w:val="24"/>
          <w:szCs w:val="24"/>
        </w:rPr>
        <w:t>, Praha 2004.</w:t>
      </w:r>
    </w:p>
    <w:p w14:paraId="1D74FCE6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Marc BLOCH,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Feudální společnost</w:t>
      </w:r>
      <w:r w:rsidRPr="00A72350">
        <w:rPr>
          <w:rFonts w:ascii="Times New Roman" w:hAnsi="Times New Roman" w:cs="Times New Roman"/>
          <w:sz w:val="24"/>
          <w:szCs w:val="24"/>
        </w:rPr>
        <w:t>, Praha 2010.</w:t>
      </w:r>
    </w:p>
    <w:p w14:paraId="2C16BCCD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Georges DUBY,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Neděle u Bouvines 27. července 1214</w:t>
      </w:r>
      <w:r w:rsidRPr="00A72350">
        <w:rPr>
          <w:rFonts w:ascii="Times New Roman" w:hAnsi="Times New Roman" w:cs="Times New Roman"/>
          <w:sz w:val="24"/>
          <w:szCs w:val="24"/>
        </w:rPr>
        <w:t>, Praha 1997.</w:t>
      </w:r>
    </w:p>
    <w:p w14:paraId="7F55D59E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Georges DUBY,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Věk katedrál. Umění a společnost 980-1420</w:t>
      </w:r>
      <w:r w:rsidRPr="00A72350">
        <w:rPr>
          <w:rFonts w:ascii="Times New Roman" w:hAnsi="Times New Roman" w:cs="Times New Roman"/>
          <w:sz w:val="24"/>
          <w:szCs w:val="24"/>
        </w:rPr>
        <w:t>, Praha 2002.</w:t>
      </w:r>
    </w:p>
    <w:p w14:paraId="1AF103BD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Georges DUBY,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Tři řády</w:t>
      </w:r>
      <w:r w:rsidRPr="00A72350">
        <w:rPr>
          <w:rFonts w:ascii="Times New Roman" w:hAnsi="Times New Roman" w:cs="Times New Roman"/>
          <w:sz w:val="24"/>
          <w:szCs w:val="24"/>
        </w:rPr>
        <w:t>, Praha 2008.</w:t>
      </w:r>
    </w:p>
    <w:p w14:paraId="2B292E85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Jean FAVIER,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Francois Villon. Život středověké Paříže</w:t>
      </w:r>
      <w:r w:rsidRPr="00A72350">
        <w:rPr>
          <w:rFonts w:ascii="Times New Roman" w:hAnsi="Times New Roman" w:cs="Times New Roman"/>
          <w:sz w:val="24"/>
          <w:szCs w:val="24"/>
        </w:rPr>
        <w:t>, Praha 2001.</w:t>
      </w:r>
    </w:p>
    <w:p w14:paraId="65EA7B62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Horst FUHRMANN,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Středověk je kolem nás</w:t>
      </w:r>
      <w:r w:rsidRPr="00A72350">
        <w:rPr>
          <w:rFonts w:ascii="Times New Roman" w:hAnsi="Times New Roman" w:cs="Times New Roman"/>
          <w:sz w:val="24"/>
          <w:szCs w:val="24"/>
        </w:rPr>
        <w:t>, Jinočany 2006.</w:t>
      </w:r>
    </w:p>
    <w:p w14:paraId="6F8C3AFC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František GRAUS,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Živá minulost. Středověké tradice a představy o středověku</w:t>
      </w:r>
      <w:r w:rsidRPr="00A72350">
        <w:rPr>
          <w:rFonts w:ascii="Times New Roman" w:hAnsi="Times New Roman" w:cs="Times New Roman"/>
          <w:sz w:val="24"/>
          <w:szCs w:val="24"/>
        </w:rPr>
        <w:t>, Praha 2017.</w:t>
      </w:r>
    </w:p>
    <w:p w14:paraId="71BFD453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Aron J. GUREVIČ,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Kategorie středověké kultury</w:t>
      </w:r>
      <w:r w:rsidRPr="00A72350">
        <w:rPr>
          <w:rFonts w:ascii="Times New Roman" w:hAnsi="Times New Roman" w:cs="Times New Roman"/>
          <w:sz w:val="24"/>
          <w:szCs w:val="24"/>
        </w:rPr>
        <w:t>, Praha 1978.</w:t>
      </w:r>
    </w:p>
    <w:p w14:paraId="67415AE1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Johann HUIZINGA,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Podzim středověku</w:t>
      </w:r>
      <w:r w:rsidRPr="00A72350">
        <w:rPr>
          <w:rFonts w:ascii="Times New Roman" w:hAnsi="Times New Roman" w:cs="Times New Roman"/>
          <w:sz w:val="24"/>
          <w:szCs w:val="24"/>
        </w:rPr>
        <w:t>, Jinočany 1999.</w:t>
      </w:r>
    </w:p>
    <w:p w14:paraId="514844C7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Ernst H. KANTOROWICZ,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Dvě těla krále</w:t>
      </w:r>
      <w:r w:rsidRPr="00A72350">
        <w:rPr>
          <w:rFonts w:ascii="Times New Roman" w:hAnsi="Times New Roman" w:cs="Times New Roman"/>
          <w:sz w:val="24"/>
          <w:szCs w:val="24"/>
        </w:rPr>
        <w:t>, Praha 2014.</w:t>
      </w:r>
    </w:p>
    <w:p w14:paraId="5C83545E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Jacques Le GOFF,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Peníze a život</w:t>
      </w:r>
      <w:r w:rsidRPr="00A72350">
        <w:rPr>
          <w:rFonts w:ascii="Times New Roman" w:hAnsi="Times New Roman" w:cs="Times New Roman"/>
          <w:sz w:val="24"/>
          <w:szCs w:val="24"/>
        </w:rPr>
        <w:t>, Praha 2005.</w:t>
      </w:r>
    </w:p>
    <w:p w14:paraId="35487E54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Jacques Le GOFF,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Paměť a dějiny</w:t>
      </w:r>
      <w:r w:rsidRPr="00A72350">
        <w:rPr>
          <w:rFonts w:ascii="Times New Roman" w:hAnsi="Times New Roman" w:cs="Times New Roman"/>
          <w:sz w:val="24"/>
          <w:szCs w:val="24"/>
        </w:rPr>
        <w:t>, Praha 2007.</w:t>
      </w:r>
    </w:p>
    <w:p w14:paraId="392330BC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Jacques Le GOFF,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Středověká imaginace</w:t>
      </w:r>
      <w:r w:rsidRPr="00A72350">
        <w:rPr>
          <w:rFonts w:ascii="Times New Roman" w:hAnsi="Times New Roman" w:cs="Times New Roman"/>
          <w:sz w:val="24"/>
          <w:szCs w:val="24"/>
        </w:rPr>
        <w:t>, Praha 1998.</w:t>
      </w:r>
    </w:p>
    <w:p w14:paraId="16117C6F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Jacques Le GOFF,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Za jiný středověk. Čas, práce a kultura na středověkém Západě: 18 esejů</w:t>
      </w:r>
      <w:r w:rsidRPr="00A72350">
        <w:rPr>
          <w:rFonts w:ascii="Times New Roman" w:hAnsi="Times New Roman" w:cs="Times New Roman"/>
          <w:sz w:val="24"/>
          <w:szCs w:val="24"/>
        </w:rPr>
        <w:t>, Praha 2005.</w:t>
      </w:r>
    </w:p>
    <w:p w14:paraId="37DF6386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Jacques Le GOFF,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Svatý Ludvík</w:t>
      </w:r>
      <w:r w:rsidRPr="00A72350">
        <w:rPr>
          <w:rFonts w:ascii="Times New Roman" w:hAnsi="Times New Roman" w:cs="Times New Roman"/>
          <w:sz w:val="24"/>
          <w:szCs w:val="24"/>
        </w:rPr>
        <w:t>, Praha 2012.</w:t>
      </w:r>
    </w:p>
    <w:p w14:paraId="0FF9E42C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Emmanuel Le ROY LADURIE,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Montaillou, okcitánská vesnice v letech 1294-1324</w:t>
      </w:r>
      <w:r w:rsidRPr="00A72350">
        <w:rPr>
          <w:rFonts w:ascii="Times New Roman" w:hAnsi="Times New Roman" w:cs="Times New Roman"/>
          <w:sz w:val="24"/>
          <w:szCs w:val="24"/>
        </w:rPr>
        <w:t>, Praha 2005.</w:t>
      </w:r>
    </w:p>
    <w:p w14:paraId="00B33352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Hans Eberhard MAYER,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Dějiny křížových výprav</w:t>
      </w:r>
      <w:r w:rsidRPr="00A72350">
        <w:rPr>
          <w:rFonts w:ascii="Times New Roman" w:hAnsi="Times New Roman" w:cs="Times New Roman"/>
          <w:sz w:val="24"/>
          <w:szCs w:val="24"/>
        </w:rPr>
        <w:t>, Praha 2013.</w:t>
      </w:r>
    </w:p>
    <w:p w14:paraId="75C48144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Karol MODZELEWSKI,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Barbarská Evropa</w:t>
      </w:r>
      <w:r w:rsidRPr="00A72350">
        <w:rPr>
          <w:rFonts w:ascii="Times New Roman" w:hAnsi="Times New Roman" w:cs="Times New Roman"/>
          <w:sz w:val="24"/>
          <w:szCs w:val="24"/>
        </w:rPr>
        <w:t>, Praha 2017.</w:t>
      </w:r>
    </w:p>
    <w:p w14:paraId="0E9FFB8D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Jean-Claude SCHMITT,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Revenanti. Živí a mrtví ve středověké společnosti</w:t>
      </w:r>
      <w:r w:rsidRPr="00A72350">
        <w:rPr>
          <w:rFonts w:ascii="Times New Roman" w:hAnsi="Times New Roman" w:cs="Times New Roman"/>
          <w:sz w:val="24"/>
          <w:szCs w:val="24"/>
        </w:rPr>
        <w:t>, Praha 2002.</w:t>
      </w:r>
    </w:p>
    <w:p w14:paraId="2A821A2E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Jean-Claude SCHMITT,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Svatý chrt</w:t>
      </w:r>
      <w:r w:rsidRPr="00A72350">
        <w:rPr>
          <w:rFonts w:ascii="Times New Roman" w:hAnsi="Times New Roman" w:cs="Times New Roman"/>
          <w:sz w:val="24"/>
          <w:szCs w:val="24"/>
        </w:rPr>
        <w:t xml:space="preserve">.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Guinefort, léčitel dětí ze 13. století</w:t>
      </w:r>
      <w:r w:rsidRPr="00A72350">
        <w:rPr>
          <w:rFonts w:ascii="Times New Roman" w:hAnsi="Times New Roman" w:cs="Times New Roman"/>
          <w:sz w:val="24"/>
          <w:szCs w:val="24"/>
        </w:rPr>
        <w:t>, Praha 2007.</w:t>
      </w:r>
    </w:p>
    <w:p w14:paraId="5C3314E6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Jean-Claude SCHMITT, </w:t>
      </w:r>
      <w:r w:rsidRPr="00A72350">
        <w:rPr>
          <w:rFonts w:ascii="Times New Roman" w:hAnsi="Times New Roman" w:cs="Times New Roman"/>
          <w:i/>
          <w:iCs/>
          <w:sz w:val="24"/>
          <w:szCs w:val="24"/>
        </w:rPr>
        <w:t>Konverze Hermanna Žida. Autobiografie, historie, fikce</w:t>
      </w:r>
      <w:r w:rsidRPr="00A72350">
        <w:rPr>
          <w:rFonts w:ascii="Times New Roman" w:hAnsi="Times New Roman" w:cs="Times New Roman"/>
          <w:sz w:val="24"/>
          <w:szCs w:val="24"/>
        </w:rPr>
        <w:t>, Praha 2010.</w:t>
      </w:r>
    </w:p>
    <w:p w14:paraId="2EB5B29E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> </w:t>
      </w:r>
    </w:p>
    <w:p w14:paraId="0B9222EE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>2.</w:t>
      </w:r>
    </w:p>
    <w:p w14:paraId="0052BB8A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 xml:space="preserve">Zaslat anotace v elektronické podobě na adresu </w:t>
      </w:r>
      <w:hyperlink r:id="rId4" w:history="1">
        <w:r w:rsidRPr="00A72350">
          <w:rPr>
            <w:rStyle w:val="Hypertextovodkaz"/>
            <w:rFonts w:ascii="Times New Roman" w:hAnsi="Times New Roman" w:cs="Times New Roman"/>
            <w:sz w:val="24"/>
            <w:szCs w:val="24"/>
          </w:rPr>
          <w:t>wihoda@phil.muni.cz</w:t>
        </w:r>
      </w:hyperlink>
      <w:r w:rsidRPr="00A72350">
        <w:rPr>
          <w:rFonts w:ascii="Times New Roman" w:hAnsi="Times New Roman" w:cs="Times New Roman"/>
          <w:sz w:val="24"/>
          <w:szCs w:val="24"/>
        </w:rPr>
        <w:t xml:space="preserve"> nejpozději v zápočtovém týdnu.</w:t>
      </w:r>
    </w:p>
    <w:p w14:paraId="00F13DA8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>3.</w:t>
      </w:r>
    </w:p>
    <w:p w14:paraId="41D70311" w14:textId="77777777" w:rsidR="00A72350" w:rsidRPr="00A72350" w:rsidRDefault="00A72350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350">
        <w:rPr>
          <w:rFonts w:ascii="Times New Roman" w:hAnsi="Times New Roman" w:cs="Times New Roman"/>
          <w:sz w:val="24"/>
          <w:szCs w:val="24"/>
        </w:rPr>
        <w:t>Dohodnout si termín konzultace, během které bude probrán obsah zvolených prací.</w:t>
      </w:r>
    </w:p>
    <w:p w14:paraId="0E90B359" w14:textId="77777777" w:rsidR="00394E58" w:rsidRPr="00A72350" w:rsidRDefault="00394E58" w:rsidP="00A72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4E58" w:rsidRPr="00A7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4C"/>
    <w:rsid w:val="00394E58"/>
    <w:rsid w:val="003C224C"/>
    <w:rsid w:val="00A72350"/>
    <w:rsid w:val="00D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19BF"/>
  <w15:chartTrackingRefBased/>
  <w15:docId w15:val="{88790835-7F60-4433-9AC8-C033182E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23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hoda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5</cp:revision>
  <dcterms:created xsi:type="dcterms:W3CDTF">2021-09-13T07:26:00Z</dcterms:created>
  <dcterms:modified xsi:type="dcterms:W3CDTF">2021-09-13T07:27:00Z</dcterms:modified>
</cp:coreProperties>
</file>