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50E" w:rsidRPr="00064A74" w:rsidRDefault="00064A74" w:rsidP="0036750E">
      <w:pPr>
        <w:spacing w:line="360" w:lineRule="auto"/>
        <w:rPr>
          <w:rFonts w:ascii="Times New Roman" w:hAnsi="Times New Roman" w:cs="Times New Roman"/>
          <w:color w:val="000000"/>
          <w:sz w:val="24"/>
          <w:szCs w:val="24"/>
          <w:shd w:val="clear" w:color="auto" w:fill="F8F8FF"/>
        </w:rPr>
      </w:pPr>
      <w:r w:rsidRPr="00064A74">
        <w:rPr>
          <w:rFonts w:ascii="Times New Roman" w:hAnsi="Times New Roman" w:cs="Times New Roman"/>
          <w:color w:val="000000"/>
          <w:sz w:val="24"/>
          <w:szCs w:val="24"/>
          <w:shd w:val="clear" w:color="auto" w:fill="F8F8FF"/>
        </w:rPr>
        <w:t>Zlatá bula sicilská</w:t>
      </w:r>
      <w:r w:rsidR="0036750E">
        <w:rPr>
          <w:rFonts w:ascii="Times New Roman" w:hAnsi="Times New Roman" w:cs="Times New Roman"/>
          <w:color w:val="000000"/>
          <w:sz w:val="24"/>
          <w:szCs w:val="24"/>
          <w:shd w:val="clear" w:color="auto" w:fill="F8F8FF"/>
        </w:rPr>
        <w:t xml:space="preserve"> - </w:t>
      </w:r>
      <w:r w:rsidR="0036750E" w:rsidRPr="00064A74">
        <w:rPr>
          <w:rFonts w:ascii="Times New Roman" w:hAnsi="Times New Roman" w:cs="Times New Roman"/>
          <w:color w:val="000000"/>
          <w:sz w:val="24"/>
          <w:szCs w:val="24"/>
          <w:shd w:val="clear" w:color="auto" w:fill="F8F8FF"/>
        </w:rPr>
        <w:t>Bazilej 26. září 1212</w:t>
      </w:r>
    </w:p>
    <w:p w:rsidR="00064A74" w:rsidRPr="00064A74" w:rsidRDefault="00064A74" w:rsidP="00064A74">
      <w:pPr>
        <w:spacing w:line="360" w:lineRule="auto"/>
        <w:rPr>
          <w:rFonts w:ascii="Times New Roman" w:hAnsi="Times New Roman" w:cs="Times New Roman"/>
          <w:color w:val="000000"/>
          <w:sz w:val="24"/>
          <w:szCs w:val="24"/>
          <w:shd w:val="clear" w:color="auto" w:fill="F8F8FF"/>
        </w:rPr>
      </w:pPr>
      <w:r w:rsidRPr="00064A74">
        <w:rPr>
          <w:rFonts w:ascii="Times New Roman" w:hAnsi="Times New Roman" w:cs="Times New Roman"/>
          <w:sz w:val="24"/>
          <w:szCs w:val="24"/>
        </w:rPr>
        <w:t>MGH Diplomata regum et imperatorum Germaniae XIV/2. Friderici II. Diplomata. Ed. W. Koch et al. Hannover 2007, s. 1–5, č. 171</w:t>
      </w:r>
    </w:p>
    <w:p w:rsidR="00064A74" w:rsidRPr="00064A74" w:rsidRDefault="00064A74" w:rsidP="00064A74">
      <w:pPr>
        <w:spacing w:line="360" w:lineRule="auto"/>
        <w:rPr>
          <w:rFonts w:ascii="Times New Roman" w:hAnsi="Times New Roman" w:cs="Times New Roman"/>
          <w:color w:val="000000"/>
          <w:sz w:val="24"/>
          <w:szCs w:val="24"/>
          <w:shd w:val="clear" w:color="auto" w:fill="F8F8FF"/>
        </w:rPr>
      </w:pPr>
    </w:p>
    <w:p w:rsidR="00F058ED" w:rsidRPr="00064A74" w:rsidRDefault="00064A74" w:rsidP="00064A74">
      <w:pPr>
        <w:spacing w:line="360" w:lineRule="auto"/>
        <w:rPr>
          <w:rFonts w:ascii="Times New Roman" w:hAnsi="Times New Roman" w:cs="Times New Roman"/>
          <w:color w:val="000000"/>
          <w:sz w:val="24"/>
          <w:szCs w:val="24"/>
          <w:shd w:val="clear" w:color="auto" w:fill="F8F8FF"/>
        </w:rPr>
      </w:pPr>
      <w:r w:rsidRPr="00064A74">
        <w:rPr>
          <w:rFonts w:ascii="Times New Roman" w:hAnsi="Times New Roman" w:cs="Times New Roman"/>
          <w:color w:val="000000"/>
          <w:sz w:val="24"/>
          <w:szCs w:val="24"/>
          <w:shd w:val="clear" w:color="auto" w:fill="F8F8FF"/>
        </w:rPr>
        <w:t>Fridrich, z Boží milosti římský císař volený, vždy rozmnožitel říše, král sicilský, vévoda apulský a kníže kapujský. Poněvadž ozdoba a moc císařská předchází náš stav, že nejen hodnosti ostatních knížat, nýbrž i královská žezla uděluje naše velebnost, pokládáme za slavnou a velikou věc, že v tak velikém dobrodiní naší štědrosti i jiným vzrůstá rozmnožení královské důstojnosti a že tím naše vznešenost netrpí nijakou újmu. Proto my přihlížejíce k přeslavným službám oddanosti, které veškerý lid český od dávného času věrně i oddaně prokazoval císařství římskému a že jasný král jejich Otakar od začátku mezi jinými knížaty zvláště před ostatními nás zvolil císařem a při naší volbě ustavičně a užitečně setrval: jako náš milý strýc, dobré paměti král Filip, poradiv se se všemi knížaty, svým privilegiem ustanovil, i my jej králem ustanovujeme a potvrzujeme a tak posvátné a důstojné ustanovení schvalujeme a království České štědře a beze všeho vymáhání peněz</w:t>
      </w:r>
      <w:bookmarkStart w:id="0" w:name="_GoBack"/>
      <w:bookmarkEnd w:id="0"/>
      <w:r w:rsidRPr="00064A74">
        <w:rPr>
          <w:rFonts w:ascii="Times New Roman" w:hAnsi="Times New Roman" w:cs="Times New Roman"/>
          <w:color w:val="000000"/>
          <w:sz w:val="24"/>
          <w:szCs w:val="24"/>
          <w:shd w:val="clear" w:color="auto" w:fill="F8F8FF"/>
        </w:rPr>
        <w:t xml:space="preserve"> i obvyklé spravedlnosti našeho dvora jemu a jeho nástupcům navěky propůjčujeme, chtějíce, aby kdokoliv od nich bude zvolen králem, k nám nebo našim nástupcům přijel a náležitým způsobem odznaky královské přijal. Také povolujeme, aby on a jeho nástupcově drželi všecky hranice, které zmíněnému království patří, ať by jakkoliv byly odcizeny. Také jemu a jeho dědicům úplně povolujeme právo a moc uváděti v úřad biskupy jeho království, avšak tak aby se těšili té svobodě a bezpečnosti, kterou mívali od našich předchůdců. Ustanovujeme pak z nadbytku naší štědrosti, že řečený jasný král nebo jeho dědicové nejsou povinni choditi na žádný náš sněm, leč který bychom svolali do Bamberka nebo Norimberka, kdybychom nařídili konati sněm v Merseburku, tam tak přijíti jsou povinni. Kdyby kníže polský, jsa pozván, přišel, mají mu dáti průvod, jako někdy jejich předchůdcové, králové Čeští, činívali, avšak tak, aby jim napřed byla určena lhůta šesti neděl k příchodu k zmíněným sněmům. S tou však výhradou, kdybychom my nebo naši nástupci byli v Římě korunováni, ponecháváme na vůli řečenému králi Otakarovi nebo jeho nástupcům, aby nám poslal tři sta oděnců nebo vyplatil tři sta hřiven.</w:t>
      </w:r>
      <w:r w:rsidRPr="00064A74">
        <w:rPr>
          <w:rFonts w:ascii="Times New Roman" w:hAnsi="Times New Roman" w:cs="Times New Roman"/>
          <w:color w:val="000000"/>
          <w:sz w:val="24"/>
          <w:szCs w:val="24"/>
        </w:rPr>
        <w:br/>
      </w:r>
      <w:r w:rsidRPr="00064A74">
        <w:rPr>
          <w:rFonts w:ascii="Times New Roman" w:hAnsi="Times New Roman" w:cs="Times New Roman"/>
          <w:color w:val="000000"/>
          <w:sz w:val="24"/>
          <w:szCs w:val="24"/>
          <w:shd w:val="clear" w:color="auto" w:fill="F8F8FF"/>
        </w:rPr>
        <w:t>K trvalé paměti a moci tohoto našeho ustanovení a potvrzení poručili jsme toto privilegium napsati rukou Jindřicha z Paříže, notáře a věrného našeho, a zlatou bulou naší utvrditi roku, měsíce a indikce níže psaných.</w:t>
      </w:r>
      <w:r w:rsidRPr="00064A74">
        <w:rPr>
          <w:rFonts w:ascii="Times New Roman" w:hAnsi="Times New Roman" w:cs="Times New Roman"/>
          <w:color w:val="000000"/>
          <w:sz w:val="24"/>
          <w:szCs w:val="24"/>
        </w:rPr>
        <w:br/>
      </w:r>
      <w:r w:rsidRPr="00064A74">
        <w:rPr>
          <w:rFonts w:ascii="Times New Roman" w:hAnsi="Times New Roman" w:cs="Times New Roman"/>
          <w:color w:val="000000"/>
          <w:sz w:val="24"/>
          <w:szCs w:val="24"/>
          <w:shd w:val="clear" w:color="auto" w:fill="F8F8FF"/>
        </w:rPr>
        <w:t xml:space="preserve">Této věci svědkové jsou tito: arcibiskup z Bari, biskup tridentský, biskup basilejský, biskup </w:t>
      </w:r>
      <w:r w:rsidRPr="00064A74">
        <w:rPr>
          <w:rFonts w:ascii="Times New Roman" w:hAnsi="Times New Roman" w:cs="Times New Roman"/>
          <w:color w:val="000000"/>
          <w:sz w:val="24"/>
          <w:szCs w:val="24"/>
          <w:shd w:val="clear" w:color="auto" w:fill="F8F8FF"/>
        </w:rPr>
        <w:lastRenderedPageBreak/>
        <w:t>kostnický, biskup churský; opat z Reichenau, opat svatého Havla, opat Wisemburský, Bertold z Neifen, přední notář dvora královského: hrabě Oldřich z Kyburka, hrabě Rudolf z Habsburka a lantkrabě v Alsasku, hrabata Ludvík a Heřman z Froburka, hrabě Wernéř z Hohenburka, Arnold šlechtic z Wartu, Rudolf fojt z Reprechtsweileru, Rudolf z Ramensberka, Alberto z Tanehausu, komorník, a mnoho jiných velmožů a šlechticů a svobodníků, jejichž svědectvím je toto privilegium potvrzeno. Stalo se toho roku od vtělení Páně tisícího dvoustého dvanáctého, v měsíci září, v patnácté indikci, království však pána našeho Fridricha nejjasnějšího, zvoleného císaře římského a vždy rozmnožitele říše krále sicilského, roku patnáctého. Dáno ve vznešeném městě Basileji rukou Oldřicha místoprotonotáře dvacátého šestého září šťastně. Amen.</w:t>
      </w:r>
    </w:p>
    <w:sectPr w:rsidR="00F058ED" w:rsidRPr="00064A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A74"/>
    <w:rsid w:val="00064A74"/>
    <w:rsid w:val="0036750E"/>
    <w:rsid w:val="00F058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4C054-AD0D-4329-BBED-AA0708AD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499</Words>
  <Characters>2949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2020-12-09T17:36:00Z</dcterms:created>
  <dcterms:modified xsi:type="dcterms:W3CDTF">2020-12-09T17:50:00Z</dcterms:modified>
</cp:coreProperties>
</file>