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DBA6" w14:textId="300E9E7C" w:rsidR="00EA4699" w:rsidRDefault="005D2681" w:rsidP="005D2681">
      <w:pPr>
        <w:jc w:val="right"/>
        <w:rPr>
          <w:b/>
          <w:sz w:val="28"/>
          <w:szCs w:val="28"/>
        </w:rPr>
      </w:pPr>
      <w:r w:rsidRPr="005D2681">
        <w:rPr>
          <w:b/>
          <w:sz w:val="28"/>
          <w:szCs w:val="28"/>
        </w:rPr>
        <w:t>Ukázka 4.03.1</w:t>
      </w:r>
    </w:p>
    <w:p w14:paraId="3BE2BEA2" w14:textId="04B8208D" w:rsidR="005D2681" w:rsidRDefault="005D2681" w:rsidP="005D2681">
      <w:pPr>
        <w:jc w:val="right"/>
        <w:rPr>
          <w:b/>
          <w:sz w:val="28"/>
          <w:szCs w:val="28"/>
        </w:rPr>
      </w:pPr>
    </w:p>
    <w:p w14:paraId="1C6C21FE" w14:textId="272FDA70" w:rsidR="00BA6775" w:rsidRDefault="005D2681" w:rsidP="005D2681">
      <w:pPr>
        <w:rPr>
          <w:b/>
          <w:sz w:val="28"/>
          <w:szCs w:val="28"/>
        </w:rPr>
      </w:pPr>
      <w:proofErr w:type="spellStart"/>
      <w:r w:rsidRPr="008678D8">
        <w:rPr>
          <w:b/>
          <w:sz w:val="28"/>
          <w:szCs w:val="28"/>
          <w:u w:val="single"/>
        </w:rPr>
        <w:t>Likvescence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BA6775">
        <w:rPr>
          <w:b/>
          <w:sz w:val="28"/>
          <w:szCs w:val="28"/>
          <w:u w:val="single"/>
        </w:rPr>
        <w:t>– komentář k tabulce 4.03</w:t>
      </w:r>
      <w:r>
        <w:rPr>
          <w:b/>
          <w:sz w:val="28"/>
          <w:szCs w:val="28"/>
        </w:rPr>
        <w:t xml:space="preserve"> </w:t>
      </w:r>
    </w:p>
    <w:p w14:paraId="689E86F5" w14:textId="1904DFB2" w:rsidR="005D2681" w:rsidRPr="008678D8" w:rsidRDefault="005D2681" w:rsidP="005D2681">
      <w:r w:rsidRPr="008678D8">
        <w:t xml:space="preserve">(lat. </w:t>
      </w:r>
      <w:proofErr w:type="spellStart"/>
      <w:r>
        <w:t>liquare</w:t>
      </w:r>
      <w:proofErr w:type="spellEnd"/>
      <w:r w:rsidRPr="008678D8">
        <w:t xml:space="preserve"> = </w:t>
      </w:r>
      <w:r w:rsidR="00BA6775">
        <w:t>činiti tekutým,</w:t>
      </w:r>
      <w:r w:rsidRPr="008678D8">
        <w:t xml:space="preserve"> rozpouštěti</w:t>
      </w:r>
      <w:r>
        <w:t xml:space="preserve">, </w:t>
      </w:r>
      <w:r w:rsidR="00BA6775">
        <w:t xml:space="preserve">taviti, </w:t>
      </w:r>
      <w:r>
        <w:t>měknout</w:t>
      </w:r>
      <w:r w:rsidR="00BA6775">
        <w:t>i</w:t>
      </w:r>
      <w:r>
        <w:t>)</w:t>
      </w:r>
    </w:p>
    <w:p w14:paraId="7F5291DF" w14:textId="747C5BC0" w:rsidR="005D2681" w:rsidRDefault="005D2681" w:rsidP="005D2681">
      <w:proofErr w:type="spellStart"/>
      <w:r w:rsidRPr="00BA6775">
        <w:rPr>
          <w:b/>
        </w:rPr>
        <w:t>Likvescence</w:t>
      </w:r>
      <w:proofErr w:type="spellEnd"/>
      <w:r>
        <w:t xml:space="preserve"> je definována jako interpretační postup (nebo technika) zajišťující zvukově a barevně </w:t>
      </w:r>
      <w:r w:rsidRPr="00BA6775">
        <w:rPr>
          <w:b/>
        </w:rPr>
        <w:t>nepřerušený hudební tok</w:t>
      </w:r>
      <w:r>
        <w:t xml:space="preserve"> v určitých fonetických situacích – převážně při přechodu mezi dvěma slabikami. </w:t>
      </w:r>
      <w:proofErr w:type="spellStart"/>
      <w:r>
        <w:t>Neumae</w:t>
      </w:r>
      <w:proofErr w:type="spellEnd"/>
      <w:r>
        <w:t xml:space="preserve"> (</w:t>
      </w:r>
      <w:proofErr w:type="spellStart"/>
      <w:r>
        <w:t>notae</w:t>
      </w:r>
      <w:proofErr w:type="spellEnd"/>
      <w:r>
        <w:t xml:space="preserve">) </w:t>
      </w:r>
      <w:proofErr w:type="spellStart"/>
      <w:r>
        <w:t>liquescentes</w:t>
      </w:r>
      <w:proofErr w:type="spellEnd"/>
      <w:r>
        <w:t xml:space="preserve"> jsou znaky, které tyto situace nejen naznačují, ale také podávají „návod“ k jejich řešení</w:t>
      </w:r>
      <w:r w:rsidR="00F5669A">
        <w:t>-jak mají být správně interpretovány.</w:t>
      </w:r>
      <w:bookmarkStart w:id="0" w:name="_GoBack"/>
      <w:bookmarkEnd w:id="0"/>
    </w:p>
    <w:p w14:paraId="1DB302DD" w14:textId="7CFB3FBD" w:rsidR="005D2681" w:rsidRDefault="005D2681" w:rsidP="005D2681">
      <w:r>
        <w:t xml:space="preserve">Pro </w:t>
      </w:r>
      <w:proofErr w:type="spellStart"/>
      <w:r>
        <w:t>likvescenci</w:t>
      </w:r>
      <w:proofErr w:type="spellEnd"/>
      <w:r>
        <w:t xml:space="preserve"> byl ve středověkém hudebním písemnictví používán termín </w:t>
      </w:r>
      <w:proofErr w:type="spellStart"/>
      <w:r w:rsidRPr="00CC4E57">
        <w:rPr>
          <w:i/>
          <w:u w:val="single"/>
        </w:rPr>
        <w:t>semivocales</w:t>
      </w:r>
      <w:proofErr w:type="spellEnd"/>
      <w:r w:rsidR="00307BF8">
        <w:rPr>
          <w:i/>
          <w:u w:val="single"/>
        </w:rPr>
        <w:t xml:space="preserve"> („polovokály“)</w:t>
      </w:r>
      <w:r>
        <w:t xml:space="preserve">, což bylo označení pro skupinu </w:t>
      </w:r>
      <w:proofErr w:type="spellStart"/>
      <w:r>
        <w:t>konzonant</w:t>
      </w:r>
      <w:proofErr w:type="spellEnd"/>
      <w:r>
        <w:t xml:space="preserve"> (souhlásek), které měly silný vokální charakter a mezi těmito polovokály zaujímala zvláštní postavení skupina tzv. </w:t>
      </w:r>
      <w:r w:rsidRPr="00CC4E57">
        <w:rPr>
          <w:b/>
        </w:rPr>
        <w:t>likvid</w:t>
      </w:r>
      <w:r>
        <w:t>, (</w:t>
      </w:r>
      <w:proofErr w:type="spellStart"/>
      <w:proofErr w:type="gramStart"/>
      <w:r>
        <w:t>l,m</w:t>
      </w:r>
      <w:proofErr w:type="gramEnd"/>
      <w:r>
        <w:t>,n,r</w:t>
      </w:r>
      <w:proofErr w:type="spellEnd"/>
      <w:r>
        <w:t xml:space="preserve">), které měly schopnost plynulého a měkkého přechodu od </w:t>
      </w:r>
      <w:proofErr w:type="spellStart"/>
      <w:r>
        <w:t>konzonant</w:t>
      </w:r>
      <w:proofErr w:type="spellEnd"/>
      <w:r>
        <w:t xml:space="preserve"> k vokálům (od souhlásek k samohláskám). Smyslem </w:t>
      </w:r>
      <w:proofErr w:type="spellStart"/>
      <w:r>
        <w:t>likvescence</w:t>
      </w:r>
      <w:proofErr w:type="spellEnd"/>
      <w:r>
        <w:t xml:space="preserve"> tedy bylo </w:t>
      </w:r>
      <w:r w:rsidRPr="002B0262">
        <w:rPr>
          <w:b/>
        </w:rPr>
        <w:t>zabránit deformaci zvukové podoby</w:t>
      </w:r>
      <w:r>
        <w:t xml:space="preserve"> </w:t>
      </w:r>
      <w:r w:rsidRPr="002B0262">
        <w:rPr>
          <w:b/>
        </w:rPr>
        <w:t>latinských hlásek</w:t>
      </w:r>
      <w:r>
        <w:t>, ke které by mohlo při zpěvní interpretaci snadno dojít</w:t>
      </w:r>
      <w:r w:rsidR="00307BF8">
        <w:t>.</w:t>
      </w:r>
      <w:r>
        <w:t xml:space="preserve"> </w:t>
      </w:r>
      <w:r w:rsidR="00307BF8">
        <w:t>N</w:t>
      </w:r>
      <w:r>
        <w:t xml:space="preserve">apř. zabránit nahrazení sledu dvou </w:t>
      </w:r>
      <w:proofErr w:type="spellStart"/>
      <w:r>
        <w:t>konzonant</w:t>
      </w:r>
      <w:proofErr w:type="spellEnd"/>
      <w:r>
        <w:t xml:space="preserve"> „</w:t>
      </w:r>
      <w:proofErr w:type="gramStart"/>
      <w:r>
        <w:t>g – n</w:t>
      </w:r>
      <w:proofErr w:type="gramEnd"/>
      <w:r>
        <w:t>“ jedinou hláskou „ň“ (</w:t>
      </w:r>
      <w:proofErr w:type="spellStart"/>
      <w:r>
        <w:t>magnus</w:t>
      </w:r>
      <w:proofErr w:type="spellEnd"/>
      <w:r>
        <w:t xml:space="preserve"> </w:t>
      </w:r>
      <w:r w:rsidR="00307BF8">
        <w:sym w:font="Wingdings" w:char="F0E0"/>
      </w:r>
      <w:r>
        <w:t xml:space="preserve"> </w:t>
      </w:r>
      <w:proofErr w:type="spellStart"/>
      <w:r>
        <w:t>maňus</w:t>
      </w:r>
      <w:proofErr w:type="spellEnd"/>
      <w:r>
        <w:t xml:space="preserve">“). Šlo tedy o kroky, které měly zabránit tomu, aby se do latinského textu nedostaly hlásky latině cizí, jako jsou „č-ž-ň“. </w:t>
      </w:r>
    </w:p>
    <w:p w14:paraId="77818CA8" w14:textId="77777777" w:rsidR="005D2681" w:rsidRDefault="005D2681" w:rsidP="005D2681">
      <w:proofErr w:type="spellStart"/>
      <w:r>
        <w:t>Likvescenci</w:t>
      </w:r>
      <w:proofErr w:type="spellEnd"/>
      <w:r>
        <w:t xml:space="preserve"> proto vyžadovaly následující fonetické konstelace vznikající při střídání slabik:</w:t>
      </w:r>
    </w:p>
    <w:p w14:paraId="0F8436D2" w14:textId="77777777" w:rsidR="005D2681" w:rsidRDefault="005D2681" w:rsidP="005D2681">
      <w:pPr>
        <w:numPr>
          <w:ilvl w:val="0"/>
          <w:numId w:val="1"/>
        </w:numPr>
        <w:spacing w:after="0"/>
      </w:pPr>
      <w:r>
        <w:t xml:space="preserve">Sled dvou nebo tří </w:t>
      </w:r>
      <w:proofErr w:type="spellStart"/>
      <w:r>
        <w:t>konzonant</w:t>
      </w:r>
      <w:proofErr w:type="spellEnd"/>
      <w:r>
        <w:t>, z nichž první je likvida (l, m, n, r);</w:t>
      </w:r>
    </w:p>
    <w:p w14:paraId="5E37D095" w14:textId="77777777" w:rsidR="005D2681" w:rsidRDefault="005D2681" w:rsidP="005D2681">
      <w:pPr>
        <w:numPr>
          <w:ilvl w:val="0"/>
          <w:numId w:val="1"/>
        </w:numPr>
        <w:spacing w:after="0"/>
      </w:pPr>
      <w:r>
        <w:t xml:space="preserve">Sled dvou </w:t>
      </w:r>
      <w:proofErr w:type="spellStart"/>
      <w:r>
        <w:t>konzonant</w:t>
      </w:r>
      <w:proofErr w:type="spellEnd"/>
      <w:r>
        <w:t>, z nichž první je tvořena dentální explozivní hláskou (</w:t>
      </w:r>
      <w:proofErr w:type="spellStart"/>
      <w:proofErr w:type="gramStart"/>
      <w:r>
        <w:t>d,t</w:t>
      </w:r>
      <w:proofErr w:type="spellEnd"/>
      <w:proofErr w:type="gramEnd"/>
      <w:r>
        <w:t>);</w:t>
      </w:r>
    </w:p>
    <w:p w14:paraId="1E49CA1C" w14:textId="77777777" w:rsidR="005D2681" w:rsidRPr="001677EA" w:rsidRDefault="005D2681" w:rsidP="005D2681">
      <w:pPr>
        <w:ind w:left="720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proofErr w:type="spellStart"/>
      <w:r>
        <w:rPr>
          <w:i/>
          <w:sz w:val="16"/>
          <w:szCs w:val="16"/>
        </w:rPr>
        <w:t>dens</w:t>
      </w:r>
      <w:proofErr w:type="spellEnd"/>
      <w:r>
        <w:rPr>
          <w:i/>
          <w:sz w:val="16"/>
          <w:szCs w:val="16"/>
        </w:rPr>
        <w:t xml:space="preserve">-zub, </w:t>
      </w:r>
      <w:proofErr w:type="spellStart"/>
      <w:r>
        <w:rPr>
          <w:i/>
          <w:sz w:val="16"/>
          <w:szCs w:val="16"/>
        </w:rPr>
        <w:t>dentatus</w:t>
      </w:r>
      <w:proofErr w:type="spellEnd"/>
      <w:r>
        <w:rPr>
          <w:i/>
          <w:sz w:val="16"/>
          <w:szCs w:val="16"/>
        </w:rPr>
        <w:t xml:space="preserve"> – mající zuby, ozubený)</w:t>
      </w:r>
    </w:p>
    <w:p w14:paraId="0FDB4FD1" w14:textId="77777777" w:rsidR="005D2681" w:rsidRDefault="005D2681" w:rsidP="005D2681">
      <w:pPr>
        <w:numPr>
          <w:ilvl w:val="0"/>
          <w:numId w:val="1"/>
        </w:numPr>
        <w:spacing w:after="0"/>
      </w:pPr>
      <w:r>
        <w:t xml:space="preserve">Sled dvou </w:t>
      </w:r>
      <w:proofErr w:type="spellStart"/>
      <w:r>
        <w:t>konzonant</w:t>
      </w:r>
      <w:proofErr w:type="spellEnd"/>
      <w:r>
        <w:t>, z nichž první je sykavka (s);</w:t>
      </w:r>
    </w:p>
    <w:p w14:paraId="6B91CEE1" w14:textId="77777777" w:rsidR="005D2681" w:rsidRPr="00663147" w:rsidRDefault="005D2681" w:rsidP="005D2681">
      <w:pPr>
        <w:numPr>
          <w:ilvl w:val="0"/>
          <w:numId w:val="1"/>
        </w:numPr>
        <w:spacing w:after="0"/>
        <w:rPr>
          <w:b/>
        </w:rPr>
      </w:pPr>
      <w:r w:rsidRPr="00663147">
        <w:rPr>
          <w:b/>
        </w:rPr>
        <w:t xml:space="preserve">Spojení </w:t>
      </w:r>
      <w:proofErr w:type="spellStart"/>
      <w:r w:rsidRPr="00663147">
        <w:rPr>
          <w:b/>
        </w:rPr>
        <w:t>konzonant</w:t>
      </w:r>
      <w:proofErr w:type="spellEnd"/>
      <w:r w:rsidRPr="00663147">
        <w:rPr>
          <w:b/>
        </w:rPr>
        <w:t xml:space="preserve"> „</w:t>
      </w:r>
      <w:proofErr w:type="spellStart"/>
      <w:r w:rsidRPr="00663147">
        <w:rPr>
          <w:b/>
        </w:rPr>
        <w:t>gn</w:t>
      </w:r>
      <w:proofErr w:type="spellEnd"/>
      <w:r w:rsidRPr="00663147">
        <w:rPr>
          <w:b/>
        </w:rPr>
        <w:t xml:space="preserve">“ (např. </w:t>
      </w:r>
      <w:proofErr w:type="spellStart"/>
      <w:r w:rsidRPr="00663147">
        <w:rPr>
          <w:b/>
        </w:rPr>
        <w:t>magnus</w:t>
      </w:r>
      <w:proofErr w:type="spellEnd"/>
      <w:r w:rsidRPr="00663147">
        <w:rPr>
          <w:b/>
        </w:rPr>
        <w:t>);</w:t>
      </w:r>
    </w:p>
    <w:p w14:paraId="53BA724B" w14:textId="77777777" w:rsidR="005D2681" w:rsidRDefault="005D2681" w:rsidP="005D2681">
      <w:pPr>
        <w:numPr>
          <w:ilvl w:val="0"/>
          <w:numId w:val="1"/>
        </w:numPr>
        <w:spacing w:after="0"/>
      </w:pPr>
      <w:r>
        <w:t xml:space="preserve">Spojení dvou </w:t>
      </w:r>
      <w:proofErr w:type="spellStart"/>
      <w:proofErr w:type="gramStart"/>
      <w:r>
        <w:t>konzonant</w:t>
      </w:r>
      <w:proofErr w:type="spellEnd"/>
      <w:proofErr w:type="gramEnd"/>
      <w:r>
        <w:t xml:space="preserve"> z nichž druhá je „j“ (</w:t>
      </w:r>
      <w:proofErr w:type="spellStart"/>
      <w:r>
        <w:t>adjutor</w:t>
      </w:r>
      <w:proofErr w:type="spellEnd"/>
      <w:r>
        <w:t>);</w:t>
      </w:r>
    </w:p>
    <w:p w14:paraId="32BF7818" w14:textId="77777777" w:rsidR="005D2681" w:rsidRPr="00663147" w:rsidRDefault="005D2681" w:rsidP="005D2681">
      <w:pPr>
        <w:numPr>
          <w:ilvl w:val="0"/>
          <w:numId w:val="1"/>
        </w:numPr>
        <w:spacing w:after="0"/>
        <w:rPr>
          <w:b/>
        </w:rPr>
      </w:pPr>
      <w:r w:rsidRPr="00663147">
        <w:rPr>
          <w:b/>
        </w:rPr>
        <w:t xml:space="preserve">Situace, kdy se </w:t>
      </w:r>
      <w:proofErr w:type="spellStart"/>
      <w:r w:rsidRPr="00663147">
        <w:rPr>
          <w:b/>
        </w:rPr>
        <w:t>konzonanty</w:t>
      </w:r>
      <w:proofErr w:type="spellEnd"/>
      <w:r w:rsidRPr="00663147">
        <w:rPr>
          <w:b/>
        </w:rPr>
        <w:t xml:space="preserve"> „m“ a „g“ nacházejí mezi dvěma vokály (</w:t>
      </w:r>
      <w:proofErr w:type="spellStart"/>
      <w:r w:rsidRPr="00663147">
        <w:rPr>
          <w:b/>
        </w:rPr>
        <w:t>regina</w:t>
      </w:r>
      <w:proofErr w:type="spellEnd"/>
      <w:r w:rsidRPr="00663147">
        <w:rPr>
          <w:b/>
        </w:rPr>
        <w:t>);</w:t>
      </w:r>
    </w:p>
    <w:p w14:paraId="766F0A2E" w14:textId="77777777" w:rsidR="005D2681" w:rsidRDefault="005D2681" w:rsidP="005D2681">
      <w:pPr>
        <w:numPr>
          <w:ilvl w:val="0"/>
          <w:numId w:val="1"/>
        </w:numPr>
        <w:spacing w:after="0"/>
      </w:pPr>
      <w:r>
        <w:t xml:space="preserve">V případě diftongů „au, </w:t>
      </w:r>
      <w:proofErr w:type="spellStart"/>
      <w:r>
        <w:t>ei</w:t>
      </w:r>
      <w:proofErr w:type="spellEnd"/>
      <w:r>
        <w:t xml:space="preserve">, </w:t>
      </w:r>
      <w:proofErr w:type="spellStart"/>
      <w:r>
        <w:t>eu</w:t>
      </w:r>
      <w:proofErr w:type="spellEnd"/>
      <w:r>
        <w:t>“ (</w:t>
      </w:r>
      <w:proofErr w:type="spellStart"/>
      <w:r>
        <w:t>gaudete</w:t>
      </w:r>
      <w:proofErr w:type="spellEnd"/>
      <w:r>
        <w:t xml:space="preserve">, </w:t>
      </w:r>
      <w:proofErr w:type="spellStart"/>
      <w:r>
        <w:t>eleison</w:t>
      </w:r>
      <w:proofErr w:type="spellEnd"/>
      <w:r>
        <w:t>)</w:t>
      </w:r>
    </w:p>
    <w:p w14:paraId="1CE68245" w14:textId="77777777" w:rsidR="005D2681" w:rsidRDefault="005D2681" w:rsidP="005D2681">
      <w:pPr>
        <w:numPr>
          <w:ilvl w:val="0"/>
          <w:numId w:val="1"/>
        </w:numPr>
        <w:spacing w:after="0"/>
      </w:pPr>
      <w:r>
        <w:t>V případě, že se nachází „j“ mezi dvěma vokály (</w:t>
      </w:r>
      <w:proofErr w:type="spellStart"/>
      <w:r>
        <w:t>ejus</w:t>
      </w:r>
      <w:proofErr w:type="spellEnd"/>
      <w:r>
        <w:t xml:space="preserve">, </w:t>
      </w:r>
      <w:proofErr w:type="spellStart"/>
      <w:r>
        <w:t>alleluja</w:t>
      </w:r>
      <w:proofErr w:type="spellEnd"/>
      <w:r>
        <w:t>“).</w:t>
      </w:r>
    </w:p>
    <w:p w14:paraId="0C4E03B6" w14:textId="77777777" w:rsidR="002156C4" w:rsidRDefault="002156C4" w:rsidP="002156C4">
      <w:pPr>
        <w:rPr>
          <w:b/>
        </w:rPr>
      </w:pPr>
    </w:p>
    <w:p w14:paraId="54F9B1C1" w14:textId="6C17A9DD" w:rsidR="002156C4" w:rsidRDefault="002156C4" w:rsidP="002156C4">
      <w:proofErr w:type="spellStart"/>
      <w:r w:rsidRPr="008C77C2">
        <w:rPr>
          <w:b/>
        </w:rPr>
        <w:t>Likvescentní</w:t>
      </w:r>
      <w:proofErr w:type="spellEnd"/>
      <w:r w:rsidRPr="008C77C2">
        <w:rPr>
          <w:b/>
        </w:rPr>
        <w:t xml:space="preserve"> neumy</w:t>
      </w:r>
      <w:r>
        <w:t xml:space="preserve"> (</w:t>
      </w:r>
      <w:proofErr w:type="spellStart"/>
      <w:r>
        <w:t>notae</w:t>
      </w:r>
      <w:proofErr w:type="spellEnd"/>
      <w:r>
        <w:t xml:space="preserve"> </w:t>
      </w:r>
      <w:proofErr w:type="spellStart"/>
      <w:r>
        <w:t>liquescentes</w:t>
      </w:r>
      <w:proofErr w:type="spellEnd"/>
      <w:r>
        <w:t>) jsou doplňkové znaky neumové notace, které se nacházejí při přechodech z jedné slabiky na druhou</w:t>
      </w:r>
      <w:r w:rsidR="009651DE">
        <w:t>,</w:t>
      </w:r>
      <w:r>
        <w:t xml:space="preserve"> a pouze za určitých (výše uvedených) fonetických situací. Jejich smysl není doposud jednoznačně určen, o některých se však na základě řady znaků předpokládá, že jsou pozůstatkem 1/4tónové melodiky a důkazem </w:t>
      </w:r>
      <w:proofErr w:type="spellStart"/>
      <w:r>
        <w:t>nediatonického</w:t>
      </w:r>
      <w:proofErr w:type="spellEnd"/>
      <w:r>
        <w:t xml:space="preserve"> původu chorálu a jeho závislosti na orientálních předlohách. Tyto znaky se udržují v běžné reprodukční praxi chorálu až do reformy </w:t>
      </w:r>
      <w:proofErr w:type="spellStart"/>
      <w:r>
        <w:t>Guidona</w:t>
      </w:r>
      <w:proofErr w:type="spellEnd"/>
      <w:r>
        <w:t xml:space="preserve"> z </w:t>
      </w:r>
      <w:proofErr w:type="spellStart"/>
      <w:r>
        <w:t>Arreza</w:t>
      </w:r>
      <w:proofErr w:type="spellEnd"/>
      <w:r>
        <w:t>. Zavedením linkové osnovy v průběhu 12. století postupně mizí a s nimi mizí i znalost jejich přesného výkladu a interpretace, protože jsou přepisovány do diatonického systému.</w:t>
      </w:r>
    </w:p>
    <w:p w14:paraId="62DC6DE8" w14:textId="3EE4ED12" w:rsidR="008669C1" w:rsidRDefault="008669C1" w:rsidP="002156C4">
      <w:proofErr w:type="spellStart"/>
      <w:r>
        <w:t>Likvescentní</w:t>
      </w:r>
      <w:proofErr w:type="spellEnd"/>
      <w:r>
        <w:t xml:space="preserve"> znaky nacházíme ve všech neumových systémech (viz následující podkapitolu 4.3) a jejich grafika je velmi pestrá. Přiložená tabulka 4.03 prezentuje ad informandum jenom ty nejběžnější, které se vyskytují v neumových zápisech svatohavelského typu.</w:t>
      </w:r>
    </w:p>
    <w:p w14:paraId="0A250A9A" w14:textId="77777777" w:rsidR="002156C4" w:rsidRDefault="002156C4" w:rsidP="002156C4"/>
    <w:p w14:paraId="37779522" w14:textId="1B2AD352" w:rsidR="002156C4" w:rsidRPr="005D2681" w:rsidRDefault="002156C4" w:rsidP="005D2681">
      <w:pPr>
        <w:jc w:val="center"/>
        <w:rPr>
          <w:b/>
          <w:sz w:val="28"/>
          <w:szCs w:val="28"/>
        </w:rPr>
      </w:pPr>
    </w:p>
    <w:sectPr w:rsidR="002156C4" w:rsidRPr="005D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7F1A"/>
    <w:multiLevelType w:val="hybridMultilevel"/>
    <w:tmpl w:val="E19E16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3A"/>
    <w:rsid w:val="002156C4"/>
    <w:rsid w:val="00307BF8"/>
    <w:rsid w:val="00580B3A"/>
    <w:rsid w:val="005D2681"/>
    <w:rsid w:val="008669C1"/>
    <w:rsid w:val="009651DE"/>
    <w:rsid w:val="00BA6775"/>
    <w:rsid w:val="00EA4699"/>
    <w:rsid w:val="00F5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B80"/>
  <w15:chartTrackingRefBased/>
  <w15:docId w15:val="{ACA55812-7275-4522-A4BF-08F0193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2022-10-18T19:42:00Z</dcterms:created>
  <dcterms:modified xsi:type="dcterms:W3CDTF">2022-10-18T20:16:00Z</dcterms:modified>
</cp:coreProperties>
</file>