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6C10" w14:textId="4C08F8B6" w:rsidR="00EA4699" w:rsidRDefault="00EA4699"/>
    <w:p w14:paraId="0F3A4692" w14:textId="76B81B87" w:rsidR="005F1728" w:rsidRDefault="005F1728" w:rsidP="005F1728">
      <w:pPr>
        <w:jc w:val="right"/>
        <w:rPr>
          <w:b/>
          <w:sz w:val="32"/>
          <w:szCs w:val="32"/>
        </w:rPr>
      </w:pPr>
      <w:r w:rsidRPr="005F1728">
        <w:rPr>
          <w:b/>
          <w:sz w:val="32"/>
          <w:szCs w:val="32"/>
        </w:rPr>
        <w:t>Příloha 9.11.2</w:t>
      </w:r>
    </w:p>
    <w:p w14:paraId="100505FA" w14:textId="62114412" w:rsidR="005F1728" w:rsidRDefault="005F1728" w:rsidP="005F1728">
      <w:pPr>
        <w:jc w:val="center"/>
        <w:rPr>
          <w:b/>
          <w:sz w:val="32"/>
          <w:szCs w:val="32"/>
        </w:rPr>
      </w:pPr>
    </w:p>
    <w:p w14:paraId="4B6D4BFE" w14:textId="77777777" w:rsidR="00350909" w:rsidRDefault="00350909" w:rsidP="005F1728">
      <w:pPr>
        <w:jc w:val="center"/>
        <w:rPr>
          <w:b/>
          <w:sz w:val="32"/>
          <w:szCs w:val="32"/>
        </w:rPr>
      </w:pPr>
    </w:p>
    <w:p w14:paraId="5E3AED10" w14:textId="7A544404" w:rsidR="005F1728" w:rsidRPr="005B50A8" w:rsidRDefault="005F1728" w:rsidP="005F1728">
      <w:pPr>
        <w:ind w:left="360"/>
      </w:pPr>
      <w:r>
        <w:rPr>
          <w:color w:val="FF0000"/>
        </w:rPr>
        <w:t xml:space="preserve">1)   </w:t>
      </w:r>
      <w:r w:rsidRPr="005B50A8">
        <w:rPr>
          <w:color w:val="FF0000"/>
        </w:rPr>
        <w:t xml:space="preserve">Dame </w:t>
      </w:r>
      <w:proofErr w:type="spellStart"/>
      <w:r w:rsidRPr="005B50A8">
        <w:rPr>
          <w:color w:val="FF0000"/>
        </w:rPr>
        <w:t>gentil</w:t>
      </w:r>
      <w:proofErr w:type="spellEnd"/>
      <w:r w:rsidRPr="005B50A8">
        <w:rPr>
          <w:color w:val="FF0000"/>
        </w:rPr>
        <w:t xml:space="preserve"> </w:t>
      </w:r>
      <w:r>
        <w:rPr>
          <w:color w:val="FF0000"/>
        </w:rPr>
        <w:t xml:space="preserve">qui </w:t>
      </w:r>
      <w:proofErr w:type="spellStart"/>
      <w:r>
        <w:rPr>
          <w:color w:val="FF0000"/>
        </w:rPr>
        <w:t>est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</w:t>
      </w:r>
      <w:proofErr w:type="spellEnd"/>
      <w:r>
        <w:rPr>
          <w:color w:val="FF0000"/>
        </w:rPr>
        <w:t xml:space="preserve"> </w:t>
      </w:r>
      <w:proofErr w:type="spellStart"/>
      <w:r w:rsidRPr="005B50A8">
        <w:rPr>
          <w:color w:val="FF0000"/>
        </w:rPr>
        <w:t>spérance</w:t>
      </w:r>
      <w:proofErr w:type="spellEnd"/>
      <w:r>
        <w:rPr>
          <w:color w:val="FF0000"/>
        </w:rPr>
        <w:t xml:space="preserve"> </w:t>
      </w:r>
      <w:r w:rsidR="00E05736">
        <w:rPr>
          <w:color w:val="FF0000"/>
        </w:rPr>
        <w:t xml:space="preserve"> </w:t>
      </w:r>
      <w:r>
        <w:rPr>
          <w:color w:val="FF0000"/>
        </w:rPr>
        <w:t xml:space="preserve">                            a</w:t>
      </w:r>
      <w:r>
        <w:t xml:space="preserve">    (8)                  A</w:t>
      </w:r>
      <w:bookmarkStart w:id="0" w:name="_GoBack"/>
      <w:bookmarkEnd w:id="0"/>
    </w:p>
    <w:p w14:paraId="15A564B8" w14:textId="77777777" w:rsidR="005F1728" w:rsidRDefault="005F1728" w:rsidP="005F1728">
      <w:pPr>
        <w:ind w:left="360"/>
      </w:pPr>
      <w:r>
        <w:t xml:space="preserve">2)   Vous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et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confort</w:t>
      </w:r>
      <w:proofErr w:type="spellEnd"/>
      <w:r>
        <w:t xml:space="preserve">                 b</w:t>
      </w:r>
      <w:proofErr w:type="gramStart"/>
      <w:r>
        <w:t xml:space="preserve">   (</w:t>
      </w:r>
      <w:proofErr w:type="gramEnd"/>
      <w:r>
        <w:t>10)</w:t>
      </w:r>
    </w:p>
    <w:p w14:paraId="05159B86" w14:textId="77777777" w:rsidR="005F1728" w:rsidRDefault="005F1728" w:rsidP="005F1728">
      <w:pPr>
        <w:ind w:left="360"/>
      </w:pPr>
    </w:p>
    <w:p w14:paraId="28FC0B65" w14:textId="77777777" w:rsidR="005F1728" w:rsidRDefault="005F1728" w:rsidP="005F1728">
      <w:pPr>
        <w:numPr>
          <w:ilvl w:val="0"/>
          <w:numId w:val="1"/>
        </w:numPr>
        <w:spacing w:after="0"/>
        <w:jc w:val="left"/>
      </w:pPr>
      <w:proofErr w:type="spellStart"/>
      <w:r>
        <w:t>Ny</w:t>
      </w:r>
      <w:proofErr w:type="spellEnd"/>
      <w:r>
        <w:t xml:space="preserve"> </w:t>
      </w:r>
      <w:proofErr w:type="spellStart"/>
      <w:r>
        <w:t>d´</w:t>
      </w:r>
      <w:proofErr w:type="gramStart"/>
      <w:r>
        <w:t>autre</w:t>
      </w:r>
      <w:proofErr w:type="spellEnd"/>
      <w:r>
        <w:t xml:space="preserve">  </w:t>
      </w:r>
      <w:proofErr w:type="spellStart"/>
      <w:r>
        <w:t>viens</w:t>
      </w:r>
      <w:proofErr w:type="spellEnd"/>
      <w:proofErr w:type="gramEnd"/>
      <w:r>
        <w:t xml:space="preserve"> ……. </w:t>
      </w:r>
      <w:proofErr w:type="spellStart"/>
      <w:r>
        <w:t>playssance</w:t>
      </w:r>
      <w:proofErr w:type="spellEnd"/>
      <w:r>
        <w:t xml:space="preserve">                           a                           B</w:t>
      </w:r>
    </w:p>
    <w:p w14:paraId="684DDF81" w14:textId="77777777" w:rsidR="005F1728" w:rsidRDefault="005F1728" w:rsidP="005F1728">
      <w:pPr>
        <w:numPr>
          <w:ilvl w:val="0"/>
          <w:numId w:val="1"/>
        </w:numPr>
        <w:spacing w:after="0"/>
        <w:jc w:val="left"/>
        <w:rPr>
          <w:color w:val="FF0000"/>
        </w:rPr>
      </w:pPr>
      <w:r w:rsidRPr="005B50A8">
        <w:rPr>
          <w:color w:val="FF0000"/>
        </w:rPr>
        <w:t xml:space="preserve">Dame </w:t>
      </w:r>
      <w:proofErr w:type="spellStart"/>
      <w:r>
        <w:rPr>
          <w:color w:val="FF0000"/>
        </w:rPr>
        <w:t>g</w:t>
      </w:r>
      <w:r w:rsidRPr="005B50A8">
        <w:rPr>
          <w:color w:val="FF0000"/>
        </w:rPr>
        <w:t>entil</w:t>
      </w:r>
      <w:proofErr w:type="spellEnd"/>
      <w:r>
        <w:rPr>
          <w:color w:val="FF0000"/>
        </w:rPr>
        <w:t xml:space="preserve"> qui es </w:t>
      </w:r>
      <w:proofErr w:type="spellStart"/>
      <w:r>
        <w:rPr>
          <w:color w:val="FF0000"/>
        </w:rPr>
        <w:t>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</w:t>
      </w:r>
      <w:r w:rsidRPr="005B50A8">
        <w:rPr>
          <w:color w:val="FF0000"/>
        </w:rPr>
        <w:t>pérance</w:t>
      </w:r>
      <w:proofErr w:type="spellEnd"/>
      <w:r>
        <w:rPr>
          <w:color w:val="FF0000"/>
        </w:rPr>
        <w:t xml:space="preserve">                                a</w:t>
      </w:r>
    </w:p>
    <w:p w14:paraId="0E845273" w14:textId="77777777" w:rsidR="005F1728" w:rsidRDefault="005F1728" w:rsidP="005F1728">
      <w:pPr>
        <w:ind w:left="360"/>
        <w:rPr>
          <w:color w:val="FF0000"/>
        </w:rPr>
      </w:pPr>
    </w:p>
    <w:p w14:paraId="055BBF8D" w14:textId="77777777" w:rsidR="005F1728" w:rsidRDefault="005F1728" w:rsidP="005F1728">
      <w:pPr>
        <w:numPr>
          <w:ilvl w:val="0"/>
          <w:numId w:val="1"/>
        </w:numPr>
        <w:spacing w:after="0"/>
        <w:jc w:val="left"/>
      </w:pPr>
      <w:r>
        <w:t xml:space="preserve">Et </w:t>
      </w:r>
      <w:proofErr w:type="spellStart"/>
      <w:r>
        <w:t>pour</w:t>
      </w:r>
      <w:proofErr w:type="spellEnd"/>
      <w:r>
        <w:t xml:space="preserve"> vous de </w:t>
      </w:r>
      <w:proofErr w:type="spellStart"/>
      <w:r>
        <w:t>touts</w:t>
      </w:r>
      <w:proofErr w:type="spellEnd"/>
      <w:r>
        <w:t xml:space="preserve">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aboudance</w:t>
      </w:r>
      <w:proofErr w:type="spellEnd"/>
      <w:r>
        <w:t xml:space="preserve">                      a                           </w:t>
      </w:r>
      <w:proofErr w:type="spellStart"/>
      <w:r>
        <w:t>A</w:t>
      </w:r>
      <w:proofErr w:type="spellEnd"/>
    </w:p>
    <w:p w14:paraId="2BD0396C" w14:textId="77777777" w:rsidR="005F1728" w:rsidRDefault="005F1728" w:rsidP="005F1728">
      <w:pPr>
        <w:numPr>
          <w:ilvl w:val="0"/>
          <w:numId w:val="1"/>
        </w:numPr>
        <w:spacing w:after="0"/>
        <w:jc w:val="left"/>
      </w:pPr>
      <w:proofErr w:type="spellStart"/>
      <w:r>
        <w:t>Quant</w:t>
      </w:r>
      <w:proofErr w:type="spellEnd"/>
      <w:r>
        <w:t xml:space="preserve"> je </w:t>
      </w:r>
      <w:proofErr w:type="spellStart"/>
      <w:r>
        <w:t>puis</w:t>
      </w:r>
      <w:proofErr w:type="spellEnd"/>
      <w:r>
        <w:t xml:space="preserve"> ……port                                               b</w:t>
      </w:r>
    </w:p>
    <w:p w14:paraId="6E37BCB9" w14:textId="77777777" w:rsidR="005F1728" w:rsidRDefault="005F1728" w:rsidP="005F1728">
      <w:pPr>
        <w:ind w:left="360"/>
      </w:pPr>
    </w:p>
    <w:p w14:paraId="6B4FF2E6" w14:textId="77777777" w:rsidR="005F1728" w:rsidRDefault="005F1728" w:rsidP="005F1728">
      <w:pPr>
        <w:numPr>
          <w:ilvl w:val="0"/>
          <w:numId w:val="1"/>
        </w:numPr>
        <w:spacing w:after="0"/>
        <w:jc w:val="left"/>
        <w:rPr>
          <w:color w:val="FF0000"/>
        </w:rPr>
      </w:pPr>
      <w:r w:rsidRPr="005B50A8">
        <w:rPr>
          <w:color w:val="FF0000"/>
        </w:rPr>
        <w:t xml:space="preserve">Dame </w:t>
      </w:r>
      <w:proofErr w:type="spellStart"/>
      <w:r>
        <w:rPr>
          <w:color w:val="FF0000"/>
        </w:rPr>
        <w:t>g</w:t>
      </w:r>
      <w:r w:rsidRPr="005B50A8">
        <w:rPr>
          <w:color w:val="FF0000"/>
        </w:rPr>
        <w:t>entil</w:t>
      </w:r>
      <w:proofErr w:type="spellEnd"/>
      <w:r w:rsidRPr="005B50A8">
        <w:rPr>
          <w:color w:val="FF0000"/>
        </w:rPr>
        <w:t xml:space="preserve"> </w:t>
      </w:r>
      <w:r>
        <w:rPr>
          <w:color w:val="FF0000"/>
        </w:rPr>
        <w:t xml:space="preserve">qui </w:t>
      </w:r>
      <w:proofErr w:type="spellStart"/>
      <w:r>
        <w:rPr>
          <w:color w:val="FF0000"/>
        </w:rPr>
        <w:t>est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</w:t>
      </w:r>
      <w:proofErr w:type="spellEnd"/>
      <w:r>
        <w:rPr>
          <w:color w:val="FF0000"/>
        </w:rPr>
        <w:t xml:space="preserve"> </w:t>
      </w:r>
      <w:proofErr w:type="spellStart"/>
      <w:r w:rsidRPr="005B50A8">
        <w:rPr>
          <w:color w:val="FF0000"/>
        </w:rPr>
        <w:t>spérance</w:t>
      </w:r>
      <w:proofErr w:type="spellEnd"/>
      <w:r>
        <w:rPr>
          <w:color w:val="FF0000"/>
        </w:rPr>
        <w:t xml:space="preserve">                               a                            </w:t>
      </w:r>
      <w:proofErr w:type="spellStart"/>
      <w:r w:rsidRPr="00562416">
        <w:t>A</w:t>
      </w:r>
      <w:proofErr w:type="spellEnd"/>
      <w:r>
        <w:rPr>
          <w:color w:val="FF0000"/>
        </w:rPr>
        <w:t xml:space="preserve"> </w:t>
      </w:r>
    </w:p>
    <w:p w14:paraId="75265EC2" w14:textId="77777777" w:rsidR="005F1728" w:rsidRDefault="005F1728" w:rsidP="005F1728">
      <w:pPr>
        <w:numPr>
          <w:ilvl w:val="0"/>
          <w:numId w:val="1"/>
        </w:numPr>
        <w:spacing w:after="0"/>
        <w:jc w:val="left"/>
      </w:pPr>
      <w:r>
        <w:t xml:space="preserve">Vous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et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confort</w:t>
      </w:r>
      <w:proofErr w:type="spellEnd"/>
      <w:r>
        <w:t xml:space="preserve">                   b</w:t>
      </w:r>
    </w:p>
    <w:p w14:paraId="5C0E2665" w14:textId="77777777" w:rsidR="005F1728" w:rsidRDefault="005F1728" w:rsidP="005F1728"/>
    <w:p w14:paraId="25E3DC84" w14:textId="77777777" w:rsidR="005F1728" w:rsidRDefault="005F1728" w:rsidP="005F1728"/>
    <w:p w14:paraId="6F7DA0EB" w14:textId="77777777" w:rsidR="005F1728" w:rsidRPr="005F1728" w:rsidRDefault="005F1728" w:rsidP="005F1728">
      <w:pPr>
        <w:rPr>
          <w:b/>
          <w:bCs/>
          <w:sz w:val="28"/>
          <w:szCs w:val="28"/>
          <w:u w:val="single"/>
        </w:rPr>
      </w:pPr>
      <w:r w:rsidRPr="005F1728">
        <w:rPr>
          <w:b/>
          <w:bCs/>
          <w:sz w:val="28"/>
          <w:szCs w:val="28"/>
          <w:u w:val="single"/>
        </w:rPr>
        <w:t>Komentář:</w:t>
      </w:r>
    </w:p>
    <w:p w14:paraId="4A490E88" w14:textId="77777777" w:rsidR="005F1728" w:rsidRDefault="005F1728" w:rsidP="005F1728">
      <w:proofErr w:type="spellStart"/>
      <w:r>
        <w:t>Rondeau</w:t>
      </w:r>
      <w:proofErr w:type="spellEnd"/>
      <w:r>
        <w:t xml:space="preserve"> „Dame </w:t>
      </w:r>
      <w:proofErr w:type="spellStart"/>
      <w:r>
        <w:t>gentil</w:t>
      </w:r>
      <w:proofErr w:type="spellEnd"/>
      <w:r>
        <w:t xml:space="preserve">“ je dvoudílná repetiční forma s návratným refrénem. Její hudební podoba </w:t>
      </w:r>
      <w:proofErr w:type="gramStart"/>
      <w:r>
        <w:t>je  následující</w:t>
      </w:r>
      <w:proofErr w:type="gramEnd"/>
      <w:r>
        <w:t xml:space="preserve"> :</w:t>
      </w:r>
    </w:p>
    <w:p w14:paraId="6FBF5477" w14:textId="77777777" w:rsidR="005F1728" w:rsidRDefault="005F1728" w:rsidP="005F1728">
      <w:r w:rsidRPr="00FC797A">
        <w:rPr>
          <w:b/>
          <w:bCs/>
        </w:rPr>
        <w:t>První díl</w:t>
      </w:r>
      <w:r>
        <w:t xml:space="preserve"> (a) s textem „Dame </w:t>
      </w:r>
      <w:proofErr w:type="spellStart"/>
      <w:r>
        <w:t>gentil</w:t>
      </w:r>
      <w:proofErr w:type="spellEnd"/>
      <w:r>
        <w:t xml:space="preserve">“ (viz 1. „červený“ řádek textu + 1. řádek notového zápisu po </w:t>
      </w:r>
      <w:proofErr w:type="spellStart"/>
      <w:r>
        <w:t>dvojčáru</w:t>
      </w:r>
      <w:proofErr w:type="spellEnd"/>
      <w:r>
        <w:t xml:space="preserve"> a longu g</w:t>
      </w:r>
      <w:proofErr w:type="gramStart"/>
      <w:r>
        <w:rPr>
          <w:vertAlign w:val="superscript"/>
        </w:rPr>
        <w:t xml:space="preserve">1 </w:t>
      </w:r>
      <w:r>
        <w:t>)</w:t>
      </w:r>
      <w:proofErr w:type="gramEnd"/>
      <w:r>
        <w:t>.</w:t>
      </w:r>
    </w:p>
    <w:p w14:paraId="1A184A00" w14:textId="77777777" w:rsidR="005F1728" w:rsidRDefault="005F1728" w:rsidP="005F1728">
      <w:r w:rsidRPr="00FC797A">
        <w:rPr>
          <w:b/>
          <w:bCs/>
        </w:rPr>
        <w:t>Druhý díl</w:t>
      </w:r>
      <w:r>
        <w:t xml:space="preserve"> (</w:t>
      </w:r>
      <w:proofErr w:type="gramStart"/>
      <w:r>
        <w:t>b)  s</w:t>
      </w:r>
      <w:proofErr w:type="gramEnd"/>
      <w:r>
        <w:t xml:space="preserve"> textem „Vous </w:t>
      </w:r>
      <w:proofErr w:type="spellStart"/>
      <w:r>
        <w:t>estes</w:t>
      </w:r>
      <w:proofErr w:type="spellEnd"/>
      <w:r>
        <w:t xml:space="preserve">“ (viz 2. „černý“ řádek textu + závěr 1. řádku notového zápisu po </w:t>
      </w:r>
      <w:proofErr w:type="spellStart"/>
      <w:r>
        <w:t>dvojčáře</w:t>
      </w:r>
      <w:proofErr w:type="spellEnd"/>
      <w:r>
        <w:t xml:space="preserve"> a celý 2. řádek-končí longou f</w:t>
      </w:r>
      <w:r>
        <w:rPr>
          <w:vertAlign w:val="superscript"/>
        </w:rPr>
        <w:t xml:space="preserve">1 </w:t>
      </w:r>
      <w:r>
        <w:t xml:space="preserve">. </w:t>
      </w:r>
    </w:p>
    <w:p w14:paraId="7524626B" w14:textId="77777777" w:rsidR="005F1728" w:rsidRDefault="005F1728" w:rsidP="005F1728">
      <w:r>
        <w:t xml:space="preserve">V ostatních hlasech:  </w:t>
      </w:r>
    </w:p>
    <w:p w14:paraId="0FE092E4" w14:textId="77777777" w:rsidR="005F1728" w:rsidRDefault="005F1728" w:rsidP="005F1728">
      <w:r w:rsidRPr="009D1DCF">
        <w:rPr>
          <w:b/>
          <w:bCs/>
        </w:rPr>
        <w:t>tenor</w:t>
      </w:r>
      <w:r>
        <w:t xml:space="preserve"> (3. řádek notového zápisu + polovina 4. řádku po </w:t>
      </w:r>
      <w:proofErr w:type="spellStart"/>
      <w:r>
        <w:t>dvojčáru</w:t>
      </w:r>
      <w:proofErr w:type="spellEnd"/>
      <w:r>
        <w:t xml:space="preserve"> – končí ligaturou </w:t>
      </w:r>
      <w:proofErr w:type="spellStart"/>
      <w:r>
        <w:t>c.o.p</w:t>
      </w:r>
      <w:proofErr w:type="spellEnd"/>
      <w:proofErr w:type="gramStart"/>
      <w:r>
        <w:t xml:space="preserve">)  </w:t>
      </w:r>
      <w:r w:rsidRPr="009D1DCF">
        <w:rPr>
          <w:b/>
          <w:bCs/>
        </w:rPr>
        <w:t>kontratenor</w:t>
      </w:r>
      <w:proofErr w:type="gramEnd"/>
      <w:r>
        <w:t xml:space="preserve"> (zbytek 4. řádku + 5. a 6. řádek) je text dílů a + b naznačen pouze incipitem.</w:t>
      </w:r>
    </w:p>
    <w:p w14:paraId="356FFD96" w14:textId="77777777" w:rsidR="005F1728" w:rsidRDefault="005F1728" w:rsidP="005F1728"/>
    <w:p w14:paraId="24602548" w14:textId="77777777" w:rsidR="005F1728" w:rsidRDefault="005F1728" w:rsidP="005F1728">
      <w:r>
        <w:t xml:space="preserve">Formová podoba výsledného tvaru – způsob, jakým se </w:t>
      </w:r>
      <w:proofErr w:type="spellStart"/>
      <w:proofErr w:type="gramStart"/>
      <w:r>
        <w:t>rondeau</w:t>
      </w:r>
      <w:proofErr w:type="spellEnd"/>
      <w:r>
        <w:t xml:space="preserve"> </w:t>
      </w:r>
      <w:r>
        <w:rPr>
          <w:vertAlign w:val="superscript"/>
        </w:rPr>
        <w:t xml:space="preserve"> </w:t>
      </w:r>
      <w:r>
        <w:t>interpretuje</w:t>
      </w:r>
      <w:proofErr w:type="gramEnd"/>
      <w:r>
        <w:t xml:space="preserve"> - je dána v zápisu ostatních řádků textu, který je </w:t>
      </w:r>
      <w:proofErr w:type="spellStart"/>
      <w:r>
        <w:t>umístněn</w:t>
      </w:r>
      <w:proofErr w:type="spellEnd"/>
      <w:r>
        <w:t xml:space="preserve"> </w:t>
      </w:r>
      <w:r>
        <w:rPr>
          <w:b/>
          <w:bCs/>
        </w:rPr>
        <w:t xml:space="preserve">v závěru </w:t>
      </w:r>
      <w:r w:rsidRPr="009D1DCF">
        <w:rPr>
          <w:b/>
          <w:bCs/>
        </w:rPr>
        <w:t xml:space="preserve"> skladby</w:t>
      </w:r>
      <w:r>
        <w:t xml:space="preserve"> za notovým zápisem kontratenoru. </w:t>
      </w:r>
    </w:p>
    <w:p w14:paraId="17830111" w14:textId="77777777" w:rsidR="005F1728" w:rsidRDefault="005F1728" w:rsidP="005F1728">
      <w:r>
        <w:t>Při pozornějším srovnání zjistíme, že text (i hudba) části „a“ se v průběhu skladby opakuje a že plní funkci refrénu – viz řádky 1. + 4. + 7. výše uvedeného schématu (naznačeno červeně).</w:t>
      </w:r>
    </w:p>
    <w:p w14:paraId="17CCAEB6" w14:textId="77777777" w:rsidR="005F1728" w:rsidRDefault="005F1728" w:rsidP="005F1728">
      <w:r>
        <w:t xml:space="preserve">Výsledná forma tedy je: a b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a b.  Postavením návratného prvku (refrénu) na různá místa ve struktuře ronda umožňuje různé formové variace. Nemusí to tedy být zrovna výše uvedené schéma, které má </w:t>
      </w:r>
      <w:proofErr w:type="spellStart"/>
      <w:proofErr w:type="gramStart"/>
      <w:r>
        <w:t>rondeau</w:t>
      </w:r>
      <w:proofErr w:type="spellEnd"/>
      <w:r>
        <w:t xml:space="preserve">  „</w:t>
      </w:r>
      <w:proofErr w:type="gramEnd"/>
      <w:r>
        <w:t xml:space="preserve">Dame </w:t>
      </w:r>
      <w:proofErr w:type="spellStart"/>
      <w:r>
        <w:t>gentil</w:t>
      </w:r>
      <w:proofErr w:type="spellEnd"/>
      <w:r>
        <w:t>“.</w:t>
      </w:r>
    </w:p>
    <w:p w14:paraId="2257452D" w14:textId="77777777" w:rsidR="005F1728" w:rsidRDefault="005F1728" w:rsidP="005F1728"/>
    <w:p w14:paraId="090586A6" w14:textId="77777777" w:rsidR="005F1728" w:rsidRPr="00FC797A" w:rsidRDefault="005F1728" w:rsidP="005F1728">
      <w:r>
        <w:rPr>
          <w:vertAlign w:val="superscript"/>
        </w:rPr>
        <w:t xml:space="preserve">      </w:t>
      </w:r>
    </w:p>
    <w:p w14:paraId="0805B69A" w14:textId="77777777" w:rsidR="005F1728" w:rsidRDefault="005F1728" w:rsidP="005F1728">
      <w:pPr>
        <w:jc w:val="center"/>
        <w:rPr>
          <w:b/>
          <w:sz w:val="32"/>
          <w:szCs w:val="32"/>
        </w:rPr>
      </w:pPr>
    </w:p>
    <w:p w14:paraId="74B3474F" w14:textId="77777777" w:rsidR="005F1728" w:rsidRPr="005F1728" w:rsidRDefault="005F1728" w:rsidP="005F1728">
      <w:pPr>
        <w:jc w:val="center"/>
        <w:rPr>
          <w:b/>
          <w:sz w:val="32"/>
          <w:szCs w:val="32"/>
        </w:rPr>
      </w:pPr>
    </w:p>
    <w:sectPr w:rsidR="005F1728" w:rsidRPr="005F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00DCF"/>
    <w:multiLevelType w:val="hybridMultilevel"/>
    <w:tmpl w:val="398407C8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9E"/>
    <w:rsid w:val="00350909"/>
    <w:rsid w:val="005F1728"/>
    <w:rsid w:val="00775E9E"/>
    <w:rsid w:val="00E05736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1224"/>
  <w15:chartTrackingRefBased/>
  <w15:docId w15:val="{F48921A2-0ED9-4B1E-A0E4-EF5B604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2023-02-03T14:10:00Z</dcterms:created>
  <dcterms:modified xsi:type="dcterms:W3CDTF">2023-02-03T14:17:00Z</dcterms:modified>
</cp:coreProperties>
</file>