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B6" w:rsidRDefault="00CC3AB6" w:rsidP="00CC3AB6">
      <w:pPr>
        <w:pStyle w:val="Nadpis1"/>
        <w:ind w:firstLine="0"/>
        <w:jc w:val="both"/>
        <w:rPr>
          <w:sz w:val="28"/>
        </w:rPr>
      </w:pPr>
      <w:bookmarkStart w:id="0" w:name="_GoBack"/>
      <w:bookmarkEnd w:id="0"/>
      <w:r>
        <w:rPr>
          <w:sz w:val="28"/>
        </w:rPr>
        <w:t>Ústava z roku 1974</w:t>
      </w:r>
    </w:p>
    <w:p w:rsidR="00CC3AB6" w:rsidRDefault="00CC3AB6" w:rsidP="00CC3AB6">
      <w:pPr>
        <w:pStyle w:val="Nadpis1"/>
        <w:jc w:val="both"/>
        <w:rPr>
          <w:b w:val="0"/>
          <w:sz w:val="24"/>
        </w:rPr>
      </w:pPr>
      <w:r>
        <w:rPr>
          <w:b w:val="0"/>
          <w:sz w:val="24"/>
        </w:rPr>
        <w:t xml:space="preserve">Nová jugoslávské ústava, jejímž otcem byl vrchní ideolog SKJ, Slovinec Edvard </w:t>
      </w:r>
      <w:proofErr w:type="spellStart"/>
      <w:r>
        <w:rPr>
          <w:b w:val="0"/>
          <w:sz w:val="24"/>
        </w:rPr>
        <w:t>Ka</w:t>
      </w:r>
      <w:r>
        <w:rPr>
          <w:b w:val="0"/>
          <w:sz w:val="24"/>
        </w:rPr>
        <w:t>r</w:t>
      </w:r>
      <w:r>
        <w:rPr>
          <w:b w:val="0"/>
          <w:sz w:val="24"/>
        </w:rPr>
        <w:t>delj</w:t>
      </w:r>
      <w:proofErr w:type="spellEnd"/>
      <w:r>
        <w:rPr>
          <w:b w:val="0"/>
          <w:sz w:val="24"/>
        </w:rPr>
        <w:t xml:space="preserve">, která byla přijata 21. února 1974, bývá často označována jako jeden z důležitých faktorů, který přispěl k násilnému a krvavému rozpadu Jugoslávie. Práce na ní byly zahájeny již v roce 1967, hotova byla v podstatě v roce </w:t>
      </w:r>
      <w:smartTag w:uri="urn:schemas-microsoft-com:office:smarttags" w:element="metricconverter">
        <w:smartTagPr>
          <w:attr w:name="ProductID" w:val="1971 a"/>
        </w:smartTagPr>
        <w:r>
          <w:rPr>
            <w:b w:val="0"/>
            <w:sz w:val="24"/>
          </w:rPr>
          <w:t>1971 a</w:t>
        </w:r>
      </w:smartTag>
      <w:r>
        <w:rPr>
          <w:b w:val="0"/>
          <w:sz w:val="24"/>
        </w:rPr>
        <w:t xml:space="preserve"> další dva roky poté byla podrobována veřejné di</w:t>
      </w:r>
      <w:r>
        <w:rPr>
          <w:b w:val="0"/>
          <w:sz w:val="24"/>
        </w:rPr>
        <w:t>s</w:t>
      </w:r>
      <w:r>
        <w:rPr>
          <w:b w:val="0"/>
          <w:sz w:val="24"/>
        </w:rPr>
        <w:t>kusi.  Ústava, na podobný vrcholný právní akt neobyčejně dlouhá (měla 406 článků), zaváděla řadu nových a podle právních analytiků často i sporných ustanovení,</w:t>
      </w:r>
      <w:r>
        <w:rPr>
          <w:rStyle w:val="Znakapoznpodarou"/>
          <w:b w:val="0"/>
          <w:sz w:val="24"/>
        </w:rPr>
        <w:footnoteReference w:id="1"/>
      </w:r>
      <w:r>
        <w:rPr>
          <w:b w:val="0"/>
          <w:sz w:val="24"/>
        </w:rPr>
        <w:t xml:space="preserve"> a to jak v delegačním a volebním systému,</w:t>
      </w:r>
      <w:r>
        <w:rPr>
          <w:rStyle w:val="Znakapoznpodarou"/>
          <w:b w:val="0"/>
          <w:sz w:val="24"/>
        </w:rPr>
        <w:footnoteReference w:id="2"/>
      </w:r>
      <w:r>
        <w:rPr>
          <w:b w:val="0"/>
          <w:sz w:val="24"/>
        </w:rPr>
        <w:t xml:space="preserve"> tak v záležitostech ekonomických (tzv. podniky sdružené práce, sam</w:t>
      </w:r>
      <w:r>
        <w:rPr>
          <w:b w:val="0"/>
          <w:sz w:val="24"/>
        </w:rPr>
        <w:t>o</w:t>
      </w:r>
      <w:r>
        <w:rPr>
          <w:b w:val="0"/>
          <w:sz w:val="24"/>
        </w:rPr>
        <w:t>správný systém atd.), které ve skutečnosti nikdy pořádně nefungovaly. Nás však především zajímají nové principy řešení národnostní otázky a systém řízení federace, který se v letech jugoslávské krize ukázal jako mimořádně neefektivní.</w:t>
      </w:r>
    </w:p>
    <w:p w:rsidR="00CC3AB6" w:rsidRDefault="00CC3AB6" w:rsidP="00CC3AB6">
      <w:pPr>
        <w:ind w:firstLine="709"/>
        <w:jc w:val="both"/>
        <w:rPr>
          <w:sz w:val="24"/>
        </w:rPr>
      </w:pPr>
      <w:r>
        <w:rPr>
          <w:sz w:val="24"/>
        </w:rPr>
        <w:t>Základní princip nové ústavy tvořil postulát, podle něhož byl jugoslávský svazový resp. federální stát, přes veškerou třídní rétoriku, založen na dohodě jednotlivých jugoslá</w:t>
      </w:r>
      <w:r>
        <w:rPr>
          <w:sz w:val="24"/>
        </w:rPr>
        <w:t>v</w:t>
      </w:r>
      <w:r>
        <w:rPr>
          <w:sz w:val="24"/>
        </w:rPr>
        <w:t>ských národů, v níž získaly rovnoprávné postavení i některé národy, které do té doby nebyly vedeny jako národy konstitutivní. Šlo především o muslimské obyvatelstvo slovanského p</w:t>
      </w:r>
      <w:r>
        <w:rPr>
          <w:sz w:val="24"/>
        </w:rPr>
        <w:t>ů</w:t>
      </w:r>
      <w:r>
        <w:rPr>
          <w:sz w:val="24"/>
        </w:rPr>
        <w:t>vodu, obývající Bosnu a Hercegovinu,</w:t>
      </w:r>
      <w:r>
        <w:rPr>
          <w:rStyle w:val="Znakapoznpodarou"/>
          <w:sz w:val="24"/>
        </w:rPr>
        <w:footnoteReference w:id="3"/>
      </w:r>
      <w:r>
        <w:rPr>
          <w:sz w:val="24"/>
        </w:rPr>
        <w:t xml:space="preserve">  které bylo v roce 1971 označeno jako plnoprávný národ nazvaný podle vyznání národem muslimským (v jednoslovném názvu Muslimové), což ovšem pro nenáboženskou většinu mezi nimi bylo označení poněkud sporné. Ostatní národy žijící na území SFRJ, včetně nejpočetnějších Albánců a Maďarů, doslati v nové ústavě statut „národnosti“.</w:t>
      </w:r>
      <w:r>
        <w:rPr>
          <w:rStyle w:val="Znakapoznpodarou"/>
          <w:sz w:val="24"/>
        </w:rPr>
        <w:footnoteReference w:id="4"/>
      </w:r>
    </w:p>
    <w:p w:rsidR="00CC3AB6" w:rsidRDefault="00CC3AB6" w:rsidP="00CC3AB6">
      <w:pPr>
        <w:ind w:firstLine="709"/>
        <w:jc w:val="both"/>
        <w:rPr>
          <w:sz w:val="24"/>
        </w:rPr>
      </w:pPr>
      <w:r>
        <w:rPr>
          <w:sz w:val="24"/>
        </w:rPr>
        <w:t>Článek 1. ústavy definoval, že je SFRJ jako „…</w:t>
      </w:r>
      <w:r>
        <w:rPr>
          <w:i/>
          <w:sz w:val="24"/>
        </w:rPr>
        <w:t xml:space="preserve"> státní společenství dobrovolně sje</w:t>
      </w:r>
      <w:r>
        <w:rPr>
          <w:i/>
          <w:sz w:val="24"/>
        </w:rPr>
        <w:t>d</w:t>
      </w:r>
      <w:r>
        <w:rPr>
          <w:i/>
          <w:sz w:val="24"/>
        </w:rPr>
        <w:t xml:space="preserve">nocených národů a jejich socialistických republik, jakož i socialistických autonomních oblastí Vojvodiny a Kosova, které jsou začleněny do svazku Socialistické republiky Srbska, založena na moci a samosprávě dělnické třídy a všech pracujících lidí“, </w:t>
      </w:r>
      <w:r>
        <w:rPr>
          <w:sz w:val="24"/>
        </w:rPr>
        <w:t xml:space="preserve">a dále že je </w:t>
      </w:r>
      <w:r>
        <w:rPr>
          <w:i/>
          <w:sz w:val="24"/>
        </w:rPr>
        <w:t>„socialistickým samosprávným demokratickým společenstvím pracujících lidí a občanů a rovnoprávných n</w:t>
      </w:r>
      <w:r>
        <w:rPr>
          <w:i/>
          <w:sz w:val="24"/>
        </w:rPr>
        <w:t>á</w:t>
      </w:r>
      <w:r>
        <w:rPr>
          <w:i/>
          <w:sz w:val="24"/>
        </w:rPr>
        <w:t>rodů a národností“.</w:t>
      </w:r>
      <w:r>
        <w:rPr>
          <w:rStyle w:val="Znakapoznpodarou"/>
          <w:i/>
          <w:sz w:val="24"/>
        </w:rPr>
        <w:footnoteReference w:id="5"/>
      </w:r>
    </w:p>
    <w:p w:rsidR="00CC3AB6" w:rsidRDefault="00CC3AB6" w:rsidP="00CC3AB6">
      <w:pPr>
        <w:ind w:firstLine="708"/>
        <w:jc w:val="both"/>
        <w:rPr>
          <w:sz w:val="24"/>
        </w:rPr>
      </w:pPr>
      <w:r>
        <w:rPr>
          <w:sz w:val="24"/>
        </w:rPr>
        <w:t xml:space="preserve"> O republikách se v článku 3. hovořilo jako o státech založených na </w:t>
      </w:r>
      <w:r>
        <w:rPr>
          <w:i/>
          <w:sz w:val="24"/>
        </w:rPr>
        <w:t>„suverenitě národa“</w:t>
      </w:r>
      <w:r>
        <w:rPr>
          <w:sz w:val="24"/>
        </w:rPr>
        <w:t xml:space="preserve"> a </w:t>
      </w:r>
      <w:r>
        <w:rPr>
          <w:i/>
          <w:sz w:val="24"/>
        </w:rPr>
        <w:t>„…společenstvích pracujících lidí a občanů a rovnoprávných národů a n</w:t>
      </w:r>
      <w:r>
        <w:rPr>
          <w:i/>
          <w:sz w:val="24"/>
        </w:rPr>
        <w:t>á</w:t>
      </w:r>
      <w:r>
        <w:rPr>
          <w:i/>
          <w:sz w:val="24"/>
        </w:rPr>
        <w:t>rodností“.</w:t>
      </w:r>
      <w:r>
        <w:rPr>
          <w:sz w:val="24"/>
        </w:rPr>
        <w:t xml:space="preserve"> </w:t>
      </w:r>
    </w:p>
    <w:p w:rsidR="00CC3AB6" w:rsidRDefault="00CC3AB6" w:rsidP="00CC3AB6">
      <w:pPr>
        <w:ind w:firstLine="709"/>
        <w:jc w:val="both"/>
        <w:rPr>
          <w:sz w:val="24"/>
        </w:rPr>
      </w:pPr>
      <w:r>
        <w:rPr>
          <w:sz w:val="24"/>
        </w:rPr>
        <w:t xml:space="preserve">Tyto formulace jasně naznačovaly směřování ke konfederativní struktuře jugoslávské federace, z ústavy navíc vypadlo označení Jugoslávie jako společenství jihoslovanských </w:t>
      </w:r>
      <w:r>
        <w:rPr>
          <w:sz w:val="24"/>
        </w:rPr>
        <w:lastRenderedPageBreak/>
        <w:t>nár</w:t>
      </w:r>
      <w:r>
        <w:rPr>
          <w:sz w:val="24"/>
        </w:rPr>
        <w:t>o</w:t>
      </w:r>
      <w:r>
        <w:rPr>
          <w:sz w:val="24"/>
        </w:rPr>
        <w:t>dů. Republiky v ní byly definovány jako státy, samotná federace ovšem pouze jako státní společenství, v jehož kontextu se, na rozdíl od republik, nepoužíval termín suv</w:t>
      </w:r>
      <w:r>
        <w:rPr>
          <w:sz w:val="24"/>
        </w:rPr>
        <w:t>e</w:t>
      </w:r>
      <w:r>
        <w:rPr>
          <w:sz w:val="24"/>
        </w:rPr>
        <w:t>rénnost.</w:t>
      </w:r>
    </w:p>
    <w:p w:rsidR="00CC3AB6" w:rsidRDefault="00CC3AB6" w:rsidP="00CC3AB6">
      <w:pPr>
        <w:ind w:firstLine="709"/>
        <w:jc w:val="both"/>
        <w:rPr>
          <w:sz w:val="24"/>
        </w:rPr>
      </w:pPr>
      <w:r>
        <w:rPr>
          <w:sz w:val="24"/>
        </w:rPr>
        <w:t xml:space="preserve">V úvodu ústavy stála preambule o tom, že </w:t>
      </w:r>
      <w:r>
        <w:rPr>
          <w:i/>
          <w:sz w:val="24"/>
        </w:rPr>
        <w:t>„Národy Jugoslávie, vycházejíce z práva každého národa na sebeurčení, zahrnuje v to i právo na odtržení… se spojily ve svazovou republiku svobodných a rovnoprávných národů a národností a vytvořily tak socialistické federativní společenství pracujících lidí – Socialistickou federativní r</w:t>
      </w:r>
      <w:r>
        <w:rPr>
          <w:i/>
          <w:sz w:val="24"/>
        </w:rPr>
        <w:t>e</w:t>
      </w:r>
      <w:r>
        <w:rPr>
          <w:i/>
          <w:sz w:val="24"/>
        </w:rPr>
        <w:t>publiku Jugoslávii.“</w:t>
      </w:r>
    </w:p>
    <w:p w:rsidR="00CC3AB6" w:rsidRDefault="00CC3AB6" w:rsidP="00CC3AB6">
      <w:pPr>
        <w:ind w:firstLine="709"/>
        <w:jc w:val="both"/>
        <w:rPr>
          <w:sz w:val="24"/>
        </w:rPr>
      </w:pPr>
      <w:r>
        <w:rPr>
          <w:sz w:val="24"/>
        </w:rPr>
        <w:t>Procedura, jíž by bylo možno právo na odtržení využít, ovšem ústavou regulována n</w:t>
      </w:r>
      <w:r>
        <w:rPr>
          <w:sz w:val="24"/>
        </w:rPr>
        <w:t>e</w:t>
      </w:r>
      <w:r>
        <w:rPr>
          <w:sz w:val="24"/>
        </w:rPr>
        <w:t>byla, což se po roce 1989 stalo výraznou komplikací.</w:t>
      </w:r>
      <w:r>
        <w:rPr>
          <w:rStyle w:val="Znakapoznpodarou"/>
          <w:sz w:val="24"/>
        </w:rPr>
        <w:footnoteReference w:id="6"/>
      </w:r>
      <w:r>
        <w:rPr>
          <w:sz w:val="24"/>
        </w:rPr>
        <w:t xml:space="preserve"> </w:t>
      </w:r>
    </w:p>
    <w:p w:rsidR="00CC3AB6" w:rsidRDefault="00CC3AB6" w:rsidP="00CC3AB6">
      <w:pPr>
        <w:ind w:firstLine="709"/>
        <w:jc w:val="both"/>
        <w:rPr>
          <w:sz w:val="24"/>
        </w:rPr>
      </w:pPr>
      <w:r>
        <w:rPr>
          <w:sz w:val="24"/>
        </w:rPr>
        <w:t>Nová ústava multietnické Jugoslávie tak vlastně protlačila do prvního plánu národní identitu. Úvodní článek a preambule ústavy o tom, že Jugoslávie je federálním státem, jenž má formu státního společenství dobrovolně sjednocených národů a jejich socialistických republik jinými slovy říká, že republiky patří národům… Nicméně mnozí příslušníci jugoslá</w:t>
      </w:r>
      <w:r>
        <w:rPr>
          <w:sz w:val="24"/>
        </w:rPr>
        <w:t>v</w:t>
      </w:r>
      <w:r>
        <w:rPr>
          <w:sz w:val="24"/>
        </w:rPr>
        <w:t xml:space="preserve">ských národů nežili, v důsledku tíživého dědictví minulých monarchií (habsburské a osmanské), v rámci svých republik, resp. nedokázali vytvořit či jim nebylo umožněno vytvořit přesvědčivou </w:t>
      </w:r>
      <w:proofErr w:type="spellStart"/>
      <w:r>
        <w:rPr>
          <w:sz w:val="24"/>
        </w:rPr>
        <w:t>kongruenci</w:t>
      </w:r>
      <w:proofErr w:type="spellEnd"/>
      <w:r>
        <w:rPr>
          <w:sz w:val="24"/>
        </w:rPr>
        <w:t xml:space="preserve"> mezi národem a jeho politicko-teritoriálním rámcem,</w:t>
      </w:r>
      <w:r>
        <w:rPr>
          <w:rStyle w:val="Znakapoznpodarou"/>
          <w:sz w:val="24"/>
        </w:rPr>
        <w:footnoteReference w:id="7"/>
      </w:r>
      <w:r>
        <w:rPr>
          <w:sz w:val="24"/>
        </w:rPr>
        <w:t xml:space="preserve"> což se v budoucnu ukázalo jako základní kámen úrazu jugoslávské státnosti. Na rozdíl od předcház</w:t>
      </w:r>
      <w:r>
        <w:rPr>
          <w:sz w:val="24"/>
        </w:rPr>
        <w:t>e</w:t>
      </w:r>
      <w:r>
        <w:rPr>
          <w:sz w:val="24"/>
        </w:rPr>
        <w:t>jící ústavy z roku 1963 pak suverenita státu nespočívala na občanech, nýbrž na suverénních právech, které národy a národnosti užívají v socialistických republikách, socialistických autonomních oblastech a v SFRJ (je-li to ovšem v jejich společném z</w:t>
      </w:r>
      <w:r>
        <w:rPr>
          <w:sz w:val="24"/>
        </w:rPr>
        <w:t>á</w:t>
      </w:r>
      <w:r>
        <w:rPr>
          <w:sz w:val="24"/>
        </w:rPr>
        <w:t>jmu).</w:t>
      </w:r>
      <w:r>
        <w:rPr>
          <w:rStyle w:val="Znakapoznpodarou"/>
          <w:sz w:val="24"/>
        </w:rPr>
        <w:footnoteReference w:id="8"/>
      </w:r>
      <w:r>
        <w:rPr>
          <w:sz w:val="24"/>
        </w:rPr>
        <w:t xml:space="preserve"> </w:t>
      </w:r>
    </w:p>
    <w:p w:rsidR="00CC3AB6" w:rsidRDefault="00CC3AB6" w:rsidP="00CC3AB6">
      <w:pPr>
        <w:ind w:firstLine="709"/>
        <w:jc w:val="both"/>
        <w:rPr>
          <w:sz w:val="24"/>
        </w:rPr>
      </w:pPr>
      <w:r>
        <w:rPr>
          <w:sz w:val="24"/>
        </w:rPr>
        <w:t>Moc tak byla s federální úrovně decentralizována na úroveň republikovou. Každá ze šesti jugoslávských republik a dvou autonomních oblastí měla vlastní centrální banku a odd</w:t>
      </w:r>
      <w:r>
        <w:rPr>
          <w:sz w:val="24"/>
        </w:rPr>
        <w:t>ě</w:t>
      </w:r>
      <w:r>
        <w:rPr>
          <w:sz w:val="24"/>
        </w:rPr>
        <w:t>lenou policii (a také jednotky tzv. teritoriální obrany, podobné americké Národní gardě), vzdělávací a právní systém. Republiky pak logicky byly, s výjimkou Bosny a Hercegoviny, organizovány převážně na národní identitě, založené na většinovém národě.</w:t>
      </w:r>
      <w:r>
        <w:rPr>
          <w:rStyle w:val="Znakapoznpodarou"/>
          <w:sz w:val="24"/>
        </w:rPr>
        <w:footnoteReference w:id="9"/>
      </w:r>
      <w:r>
        <w:rPr>
          <w:sz w:val="24"/>
        </w:rPr>
        <w:t xml:space="preserve"> </w:t>
      </w:r>
    </w:p>
    <w:p w:rsidR="00CC3AB6" w:rsidRDefault="00CC3AB6" w:rsidP="00CC3AB6">
      <w:pPr>
        <w:ind w:firstLine="709"/>
        <w:jc w:val="both"/>
        <w:rPr>
          <w:sz w:val="24"/>
        </w:rPr>
      </w:pPr>
      <w:r>
        <w:rPr>
          <w:sz w:val="24"/>
        </w:rPr>
        <w:t>Autonomní oblasti byly podle nové ústavy v podstatě povýšeny na úroveň plnoprá</w:t>
      </w:r>
      <w:r>
        <w:rPr>
          <w:sz w:val="24"/>
        </w:rPr>
        <w:t>v</w:t>
      </w:r>
      <w:r>
        <w:rPr>
          <w:sz w:val="24"/>
        </w:rPr>
        <w:t>ných federálních jednotek. Ústava jasně zdůrazňovala účast autonomních oblastí na správě federálních záležitostí, zatímco jejich role v rámci Socialistické republiky Srbsko předpokl</w:t>
      </w:r>
      <w:r>
        <w:rPr>
          <w:sz w:val="24"/>
        </w:rPr>
        <w:t>á</w:t>
      </w:r>
      <w:r>
        <w:rPr>
          <w:sz w:val="24"/>
        </w:rPr>
        <w:t xml:space="preserve">dala pouze nezávaznou účast při řešení jejích záležitostí a naopak nepředpokládala </w:t>
      </w:r>
      <w:r>
        <w:rPr>
          <w:sz w:val="24"/>
        </w:rPr>
        <w:lastRenderedPageBreak/>
        <w:t>princip podřízenosti vedení autonomních oblastí vedení republikovému. Ve zmíněném již článku 3. ústavy tak byly autonomní oblasti vypočteny společně s republikami jako konstitutivní části federace.</w:t>
      </w:r>
    </w:p>
    <w:p w:rsidR="00CC3AB6" w:rsidRDefault="00CC3AB6" w:rsidP="00CC3AB6">
      <w:pPr>
        <w:ind w:firstLine="709"/>
        <w:jc w:val="both"/>
        <w:rPr>
          <w:sz w:val="24"/>
        </w:rPr>
      </w:pPr>
      <w:r>
        <w:rPr>
          <w:sz w:val="24"/>
        </w:rPr>
        <w:t xml:space="preserve">Svazový parlament byl dvoukomorový, podobně jako ve většině federací včetně ČSSR. Komora, představující federální jednotky (sněmovna republik a autonomních oblastí), byla složena ze stejného počtu delegátů z republik (12), které volily republikové </w:t>
      </w:r>
      <w:proofErr w:type="spellStart"/>
      <w:proofErr w:type="gramStart"/>
      <w:r>
        <w:rPr>
          <w:sz w:val="24"/>
        </w:rPr>
        <w:t>parlamenty,a</w:t>
      </w:r>
      <w:proofErr w:type="spellEnd"/>
      <w:r>
        <w:rPr>
          <w:sz w:val="24"/>
        </w:rPr>
        <w:t xml:space="preserve"> z delegátů</w:t>
      </w:r>
      <w:proofErr w:type="gramEnd"/>
      <w:r>
        <w:rPr>
          <w:sz w:val="24"/>
        </w:rPr>
        <w:t xml:space="preserve"> autonomních oblastí, jež měly v této komoře 8 zástupců (článek 292). Druhá k</w:t>
      </w:r>
      <w:r>
        <w:rPr>
          <w:sz w:val="24"/>
        </w:rPr>
        <w:t>o</w:t>
      </w:r>
      <w:r>
        <w:rPr>
          <w:sz w:val="24"/>
        </w:rPr>
        <w:t>mora (svazová sněmovna, resp. sněmovna lidu), jejíž složení ve federacích obvykle odráží počet obyvatel federálních jednotek, však byla sestavena podle stejného principu jako sn</w:t>
      </w:r>
      <w:r>
        <w:rPr>
          <w:sz w:val="24"/>
        </w:rPr>
        <w:t>ě</w:t>
      </w:r>
      <w:r>
        <w:rPr>
          <w:sz w:val="24"/>
        </w:rPr>
        <w:t>movna republik – tvořilo ji 30 delegátů z každé republiky a 20 z autonomních oblastí, navíc je nevolilo bezprostředně obyvatelstvo – jejich jmenování bylo výsledkem složitého, výše již zmíněného delegačního systému, do něhož zasahoval také SSRN (</w:t>
      </w:r>
      <w:proofErr w:type="spellStart"/>
      <w:r>
        <w:rPr>
          <w:sz w:val="24"/>
        </w:rPr>
        <w:t>Socialistički</w:t>
      </w:r>
      <w:proofErr w:type="spellEnd"/>
      <w:r>
        <w:rPr>
          <w:sz w:val="24"/>
        </w:rPr>
        <w:t xml:space="preserve"> </w:t>
      </w:r>
      <w:proofErr w:type="spellStart"/>
      <w:r>
        <w:rPr>
          <w:sz w:val="24"/>
        </w:rPr>
        <w:t>savez</w:t>
      </w:r>
      <w:proofErr w:type="spellEnd"/>
      <w:r>
        <w:rPr>
          <w:sz w:val="24"/>
        </w:rPr>
        <w:t xml:space="preserve"> </w:t>
      </w:r>
      <w:proofErr w:type="spellStart"/>
      <w:r>
        <w:rPr>
          <w:sz w:val="24"/>
        </w:rPr>
        <w:t>radnog</w:t>
      </w:r>
      <w:proofErr w:type="spellEnd"/>
      <w:r>
        <w:rPr>
          <w:sz w:val="24"/>
        </w:rPr>
        <w:t xml:space="preserve"> </w:t>
      </w:r>
      <w:proofErr w:type="spellStart"/>
      <w:r>
        <w:rPr>
          <w:sz w:val="24"/>
        </w:rPr>
        <w:t>naroda</w:t>
      </w:r>
      <w:proofErr w:type="spellEnd"/>
      <w:r>
        <w:rPr>
          <w:sz w:val="24"/>
        </w:rPr>
        <w:t xml:space="preserve"> – Socialistický svaz pracujících, obdoba československé Národní fronty) resp. odpov</w:t>
      </w:r>
      <w:r>
        <w:rPr>
          <w:sz w:val="24"/>
        </w:rPr>
        <w:t>í</w:t>
      </w:r>
      <w:r>
        <w:rPr>
          <w:sz w:val="24"/>
        </w:rPr>
        <w:t xml:space="preserve">dající republikové výbory SKJ. Podle některých právních analytiků vyplývala tato nelogičnost ze strachu před </w:t>
      </w:r>
      <w:proofErr w:type="spellStart"/>
      <w:r>
        <w:rPr>
          <w:sz w:val="24"/>
        </w:rPr>
        <w:t>dominací</w:t>
      </w:r>
      <w:proofErr w:type="spellEnd"/>
      <w:r>
        <w:rPr>
          <w:sz w:val="24"/>
        </w:rPr>
        <w:t xml:space="preserve"> nejpočetnějš</w:t>
      </w:r>
      <w:r>
        <w:rPr>
          <w:sz w:val="24"/>
        </w:rPr>
        <w:t>í</w:t>
      </w:r>
      <w:r>
        <w:rPr>
          <w:sz w:val="24"/>
        </w:rPr>
        <w:t>ho národa – tedy Srbů.</w:t>
      </w:r>
      <w:r>
        <w:rPr>
          <w:rStyle w:val="Znakapoznpodarou"/>
          <w:sz w:val="24"/>
        </w:rPr>
        <w:footnoteReference w:id="10"/>
      </w:r>
    </w:p>
    <w:p w:rsidR="00CC3AB6" w:rsidRDefault="00CC3AB6" w:rsidP="00CC3AB6">
      <w:pPr>
        <w:ind w:firstLine="709"/>
        <w:jc w:val="both"/>
        <w:rPr>
          <w:sz w:val="24"/>
        </w:rPr>
      </w:pPr>
      <w:r>
        <w:rPr>
          <w:sz w:val="24"/>
        </w:rPr>
        <w:t>Rozhodovací procedura svazového parlamentu byla navíc ztížena tím, že podle ústavy jednotlivé komory nemohly pracovat, nebyli-li přítomni zástupci všech republik a aut</w:t>
      </w:r>
      <w:r>
        <w:rPr>
          <w:sz w:val="24"/>
        </w:rPr>
        <w:t>o</w:t>
      </w:r>
      <w:r>
        <w:rPr>
          <w:sz w:val="24"/>
        </w:rPr>
        <w:t xml:space="preserve">nomních oblastí (v horní </w:t>
      </w:r>
      <w:proofErr w:type="gramStart"/>
      <w:r>
        <w:rPr>
          <w:sz w:val="24"/>
        </w:rPr>
        <w:t>komoře) a  většina</w:t>
      </w:r>
      <w:proofErr w:type="gramEnd"/>
      <w:r>
        <w:rPr>
          <w:sz w:val="24"/>
        </w:rPr>
        <w:t xml:space="preserve"> delegátů (v dolní komoře) (viz čl. 295), což po</w:t>
      </w:r>
      <w:r>
        <w:rPr>
          <w:sz w:val="24"/>
        </w:rPr>
        <w:t>z</w:t>
      </w:r>
      <w:r>
        <w:rPr>
          <w:sz w:val="24"/>
        </w:rPr>
        <w:t>ději umožňovalo jednotlivým republikám práci parlamentu zcela paralyzovat. Kromě toho musely být důležité zákony schvalovány pouze konsensem, nikoli většinovým hlasováním (čl. 286). Každá delegace tedy mohla zcela znemožnit přijetí jakéhokoli pro fungování federace důležitého zákona. Ústava tak otevírala možnost pro neomezený vliv republikových strani</w:t>
      </w:r>
      <w:r>
        <w:rPr>
          <w:sz w:val="24"/>
        </w:rPr>
        <w:t>c</w:t>
      </w:r>
      <w:r>
        <w:rPr>
          <w:sz w:val="24"/>
        </w:rPr>
        <w:t>kých elit, které ji také, zejména od poloviny 80. let 20. století, začaly ve zvýšené míře využ</w:t>
      </w:r>
      <w:r>
        <w:rPr>
          <w:sz w:val="24"/>
        </w:rPr>
        <w:t>í</w:t>
      </w:r>
      <w:r>
        <w:rPr>
          <w:sz w:val="24"/>
        </w:rPr>
        <w:t>vat.</w:t>
      </w:r>
      <w:r>
        <w:rPr>
          <w:rStyle w:val="Znakapoznpodarou"/>
          <w:sz w:val="24"/>
        </w:rPr>
        <w:footnoteReference w:id="11"/>
      </w:r>
      <w:r>
        <w:rPr>
          <w:sz w:val="24"/>
        </w:rPr>
        <w:t xml:space="preserve"> Výsledkem toho byla malá rozhodovací </w:t>
      </w:r>
      <w:proofErr w:type="gramStart"/>
      <w:r>
        <w:rPr>
          <w:sz w:val="24"/>
        </w:rPr>
        <w:t>schopnost  parlamentu</w:t>
      </w:r>
      <w:proofErr w:type="gramEnd"/>
      <w:r>
        <w:rPr>
          <w:sz w:val="24"/>
        </w:rPr>
        <w:t xml:space="preserve"> a stále větší a větší přenášení rozhodovacích pravomocí z federace do jednotlivých republik. Federace tak byla odsouzena k nefunkčnosti, což se plně ovšem projevilo teprve po </w:t>
      </w:r>
      <w:proofErr w:type="spellStart"/>
      <w:r>
        <w:rPr>
          <w:sz w:val="24"/>
        </w:rPr>
        <w:t>Titově</w:t>
      </w:r>
      <w:proofErr w:type="spellEnd"/>
      <w:r>
        <w:rPr>
          <w:sz w:val="24"/>
        </w:rPr>
        <w:t xml:space="preserve"> smrti, jehož autorita stála nad všemi rozhodovacími procesy.</w:t>
      </w:r>
    </w:p>
    <w:p w:rsidR="00CC3AB6" w:rsidRDefault="00CC3AB6" w:rsidP="00CC3AB6">
      <w:pPr>
        <w:ind w:firstLine="709"/>
        <w:jc w:val="both"/>
        <w:rPr>
          <w:sz w:val="24"/>
        </w:rPr>
      </w:pPr>
      <w:r>
        <w:rPr>
          <w:sz w:val="24"/>
        </w:rPr>
        <w:t xml:space="preserve">V čele jugoslávské federace stálo prezídium či předsednictvo, jehož předsedou byl až do své smrti Josip </w:t>
      </w:r>
      <w:proofErr w:type="spellStart"/>
      <w:r>
        <w:rPr>
          <w:sz w:val="24"/>
        </w:rPr>
        <w:t>Broz</w:t>
      </w:r>
      <w:proofErr w:type="spellEnd"/>
      <w:r>
        <w:rPr>
          <w:sz w:val="24"/>
        </w:rPr>
        <w:t xml:space="preserve"> Tito, doživotní jugoslávský prezident. Složení prezídia určoval článek 321 ústavy tak, že vedle předsedy jugoslávské komunistické strany se předsednictvo skládalo z jednoho člena z každé republiky a autonomní oblasti. Tyto členy pak volily jejich republ</w:t>
      </w:r>
      <w:r>
        <w:rPr>
          <w:sz w:val="24"/>
        </w:rPr>
        <w:t>i</w:t>
      </w:r>
      <w:r>
        <w:rPr>
          <w:sz w:val="24"/>
        </w:rPr>
        <w:t>kové parlamenty. Členové tohoto orgánu se v roční rotaci střídali ve funkci předsedy předse</w:t>
      </w:r>
      <w:r>
        <w:rPr>
          <w:sz w:val="24"/>
        </w:rPr>
        <w:t>d</w:t>
      </w:r>
      <w:r>
        <w:rPr>
          <w:sz w:val="24"/>
        </w:rPr>
        <w:t xml:space="preserve">nictva v závislosti na abecedním pořádku republik a autonomních oblastí. Federální orgány přitom na </w:t>
      </w:r>
      <w:proofErr w:type="gramStart"/>
      <w:r>
        <w:rPr>
          <w:sz w:val="24"/>
        </w:rPr>
        <w:t>sestavováním</w:t>
      </w:r>
      <w:proofErr w:type="gramEnd"/>
      <w:r>
        <w:rPr>
          <w:sz w:val="24"/>
        </w:rPr>
        <w:t xml:space="preserve"> prezídia neměly vliv – to bylo zcela v kompetenci republikových pa</w:t>
      </w:r>
      <w:r>
        <w:rPr>
          <w:sz w:val="24"/>
        </w:rPr>
        <w:t>r</w:t>
      </w:r>
      <w:r>
        <w:rPr>
          <w:sz w:val="24"/>
        </w:rPr>
        <w:t>lamentů, takže členové prezídia nemohly být federálními orgány pohnáni k odpovědnosti.</w:t>
      </w:r>
      <w:r>
        <w:rPr>
          <w:rStyle w:val="Znakapoznpodarou"/>
          <w:sz w:val="24"/>
        </w:rPr>
        <w:footnoteReference w:id="12"/>
      </w:r>
      <w:r>
        <w:rPr>
          <w:sz w:val="24"/>
        </w:rPr>
        <w:t xml:space="preserve"> V předsednictvu navíc neexistoval rozdíl mezi zástupci republik a aut</w:t>
      </w:r>
      <w:r>
        <w:rPr>
          <w:sz w:val="24"/>
        </w:rPr>
        <w:t>o</w:t>
      </w:r>
      <w:r>
        <w:rPr>
          <w:sz w:val="24"/>
        </w:rPr>
        <w:t xml:space="preserve">nomních oblastí.  </w:t>
      </w:r>
    </w:p>
    <w:p w:rsidR="00CC3AB6" w:rsidRDefault="00CC3AB6" w:rsidP="00CC3AB6">
      <w:pPr>
        <w:ind w:firstLine="709"/>
        <w:jc w:val="both"/>
        <w:rPr>
          <w:sz w:val="24"/>
        </w:rPr>
      </w:pPr>
      <w:r>
        <w:rPr>
          <w:sz w:val="24"/>
        </w:rPr>
        <w:lastRenderedPageBreak/>
        <w:t>Jediným svazovým orgánem, jehož formování nebylo závislé na přísné paritě a vůli republikových oligarchií, byla svazová, resp. federální vláda (</w:t>
      </w:r>
      <w:proofErr w:type="spellStart"/>
      <w:r>
        <w:rPr>
          <w:sz w:val="24"/>
        </w:rPr>
        <w:t>Savezno</w:t>
      </w:r>
      <w:proofErr w:type="spellEnd"/>
      <w:r>
        <w:rPr>
          <w:sz w:val="24"/>
        </w:rPr>
        <w:t xml:space="preserve"> </w:t>
      </w:r>
      <w:proofErr w:type="spellStart"/>
      <w:r>
        <w:rPr>
          <w:sz w:val="24"/>
        </w:rPr>
        <w:t>izvršno</w:t>
      </w:r>
      <w:proofErr w:type="spellEnd"/>
      <w:r>
        <w:rPr>
          <w:sz w:val="24"/>
        </w:rPr>
        <w:t xml:space="preserve"> </w:t>
      </w:r>
      <w:proofErr w:type="spellStart"/>
      <w:r>
        <w:rPr>
          <w:sz w:val="24"/>
        </w:rPr>
        <w:t>veće</w:t>
      </w:r>
      <w:proofErr w:type="spellEnd"/>
      <w:r>
        <w:rPr>
          <w:sz w:val="24"/>
        </w:rPr>
        <w:t>), jejíhož předsedu volily společně obě komory jugoslávského parlamentu.</w:t>
      </w:r>
      <w:r>
        <w:rPr>
          <w:rStyle w:val="Znakapoznpodarou"/>
          <w:sz w:val="24"/>
        </w:rPr>
        <w:footnoteReference w:id="13"/>
      </w:r>
      <w:r>
        <w:rPr>
          <w:sz w:val="24"/>
        </w:rPr>
        <w:t xml:space="preserve"> </w:t>
      </w:r>
    </w:p>
    <w:p w:rsidR="00CC3AB6" w:rsidRDefault="00CC3AB6" w:rsidP="00CC3AB6">
      <w:pPr>
        <w:ind w:firstLine="709"/>
        <w:jc w:val="both"/>
        <w:rPr>
          <w:sz w:val="24"/>
        </w:rPr>
      </w:pPr>
      <w:r>
        <w:rPr>
          <w:sz w:val="24"/>
        </w:rPr>
        <w:t xml:space="preserve">Na závěr tohoto stručného ústavního přehledu SFRJ je ovšem zapotřebí zmínit se i o postavení Jugoslávské lidové armády, která byla v době </w:t>
      </w:r>
      <w:proofErr w:type="spellStart"/>
      <w:r>
        <w:rPr>
          <w:sz w:val="24"/>
        </w:rPr>
        <w:t>Titovy</w:t>
      </w:r>
      <w:proofErr w:type="spellEnd"/>
      <w:r>
        <w:rPr>
          <w:sz w:val="24"/>
        </w:rPr>
        <w:t xml:space="preserve"> vlády budována v podstatě jako devátá federální jednotka.</w:t>
      </w:r>
      <w:r>
        <w:rPr>
          <w:rStyle w:val="Znakapoznpodarou"/>
          <w:sz w:val="24"/>
        </w:rPr>
        <w:footnoteReference w:id="14"/>
      </w:r>
      <w:r>
        <w:rPr>
          <w:sz w:val="24"/>
        </w:rPr>
        <w:t xml:space="preserve"> Ústavně vzato bylo jejím vrchním velitelem po maršálově smrti kolektivní jugoslávské prezídium, armáda však také přímo komunikovala s ústředím SKJ. Význam JLA stoupal spolu se zvyšujícími se tenzemi v rámci SFRJ, kdy bylo jasné, že federální vláda nemůže obstát bez podpory armády.</w:t>
      </w:r>
      <w:r>
        <w:rPr>
          <w:rStyle w:val="Znakapoznpodarou"/>
          <w:sz w:val="24"/>
        </w:rPr>
        <w:footnoteReference w:id="15"/>
      </w:r>
    </w:p>
    <w:p w:rsidR="00536F95" w:rsidRDefault="00536F95"/>
    <w:sectPr w:rsidR="00536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39" w:rsidRDefault="00EB0B39" w:rsidP="00CC3AB6">
      <w:r>
        <w:separator/>
      </w:r>
    </w:p>
  </w:endnote>
  <w:endnote w:type="continuationSeparator" w:id="0">
    <w:p w:rsidR="00EB0B39" w:rsidRDefault="00EB0B39" w:rsidP="00CC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39" w:rsidRDefault="00EB0B39" w:rsidP="00CC3AB6">
      <w:r>
        <w:separator/>
      </w:r>
    </w:p>
  </w:footnote>
  <w:footnote w:type="continuationSeparator" w:id="0">
    <w:p w:rsidR="00EB0B39" w:rsidRDefault="00EB0B39" w:rsidP="00CC3AB6">
      <w:r>
        <w:continuationSeparator/>
      </w:r>
    </w:p>
  </w:footnote>
  <w:footnote w:id="1">
    <w:p w:rsidR="00CC3AB6" w:rsidRDefault="00CC3AB6" w:rsidP="00CC3AB6">
      <w:pPr>
        <w:pStyle w:val="Textpoznpodarou"/>
        <w:jc w:val="both"/>
      </w:pPr>
      <w:r>
        <w:rPr>
          <w:rStyle w:val="Znakapoznpodarou"/>
        </w:rPr>
        <w:footnoteRef/>
      </w:r>
      <w:r>
        <w:t xml:space="preserve"> </w:t>
      </w:r>
      <w:r>
        <w:rPr>
          <w:caps/>
        </w:rPr>
        <w:t xml:space="preserve">DimitrijeviĆ, V.: </w:t>
      </w:r>
      <w:proofErr w:type="spellStart"/>
      <w:r>
        <w:rPr>
          <w:i/>
        </w:rPr>
        <w:t>Sukobi</w:t>
      </w:r>
      <w:proofErr w:type="spellEnd"/>
      <w:r>
        <w:rPr>
          <w:i/>
        </w:rPr>
        <w:t xml:space="preserve"> oko </w:t>
      </w:r>
      <w:proofErr w:type="spellStart"/>
      <w:r>
        <w:rPr>
          <w:i/>
        </w:rPr>
        <w:t>ustava</w:t>
      </w:r>
      <w:proofErr w:type="spellEnd"/>
      <w:r>
        <w:rPr>
          <w:i/>
        </w:rPr>
        <w:t xml:space="preserve"> </w:t>
      </w:r>
      <w:proofErr w:type="spellStart"/>
      <w:r>
        <w:rPr>
          <w:i/>
        </w:rPr>
        <w:t>iz</w:t>
      </w:r>
      <w:proofErr w:type="spellEnd"/>
      <w:r>
        <w:rPr>
          <w:i/>
        </w:rPr>
        <w:t xml:space="preserve"> 1974. </w:t>
      </w:r>
      <w:r>
        <w:t xml:space="preserve"> In: </w:t>
      </w:r>
      <w:proofErr w:type="spellStart"/>
      <w:r>
        <w:t>Srpska</w:t>
      </w:r>
      <w:proofErr w:type="spellEnd"/>
      <w:r>
        <w:t xml:space="preserve"> strana </w:t>
      </w:r>
      <w:proofErr w:type="spellStart"/>
      <w:r>
        <w:t>rata</w:t>
      </w:r>
      <w:proofErr w:type="spellEnd"/>
      <w:r>
        <w:t>. Beograd 1996, s. 450–471.</w:t>
      </w:r>
    </w:p>
  </w:footnote>
  <w:footnote w:id="2">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„Delegát“ byl nový pojem, označující nejen představitele parlamentu (tedy poslance), ale i člena „delegací“, které ho zvolily poté, co i sami byly zvoleny nižšími „delegacemi“. Za tímto pojmem se skrýval systém vícen</w:t>
      </w:r>
      <w:r>
        <w:t>á</w:t>
      </w:r>
      <w:r>
        <w:t>sobných voleb, v němž měli občané možnost volit pouze na nejnižším stupni. Tento chválený „delegátský sy</w:t>
      </w:r>
      <w:r>
        <w:t>s</w:t>
      </w:r>
      <w:r>
        <w:t>tém“ ve skutečnosti ovšem ještě více vzdálil poslance federálního parlamentu od voličské základny, jíž nebyl zodpovědný bezprostředně (i když v rámci komunistického parlamentního systému je tato odpovědnost pouze relativním pojmem), ale pouze zprostředkovaně pomocí dílčích delegačních skupin. Tamtéž, s. 450.</w:t>
      </w:r>
    </w:p>
  </w:footnote>
  <w:footnote w:id="3">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Kromě Bosny a </w:t>
      </w:r>
      <w:proofErr w:type="gramStart"/>
      <w:r>
        <w:t>Hercegoviny  slovanští</w:t>
      </w:r>
      <w:proofErr w:type="gramEnd"/>
      <w:r>
        <w:t xml:space="preserve"> muslimové žili a žijí také na Kosovu a v oblasti bývalého </w:t>
      </w:r>
      <w:proofErr w:type="spellStart"/>
      <w:r>
        <w:t>novopaza</w:t>
      </w:r>
      <w:r>
        <w:t>r</w:t>
      </w:r>
      <w:r>
        <w:t>ského</w:t>
      </w:r>
      <w:proofErr w:type="spellEnd"/>
      <w:r>
        <w:t xml:space="preserve"> sandžaku, rozděleného po balkánských válkách mezi Srbsko a Černou Horu.</w:t>
      </w:r>
    </w:p>
  </w:footnote>
  <w:footnote w:id="4">
    <w:p w:rsidR="00CC3AB6" w:rsidRDefault="00CC3AB6" w:rsidP="00CC3AB6">
      <w:pPr>
        <w:pStyle w:val="Textpoznpodarou"/>
        <w:jc w:val="both"/>
      </w:pPr>
      <w:r>
        <w:rPr>
          <w:rStyle w:val="Znakapoznpodarou"/>
        </w:rPr>
        <w:footnoteRef/>
      </w:r>
      <w:r>
        <w:t xml:space="preserve"> Po válce s </w:t>
      </w:r>
      <w:proofErr w:type="gramStart"/>
      <w:r>
        <w:t>Tito</w:t>
      </w:r>
      <w:proofErr w:type="gramEnd"/>
      <w:r>
        <w:t xml:space="preserve"> a vůdčí jugoslávští komunisté domnívali, že vyřešili národnostní otázku v Jugoslávii pravým marxistickým způsobem, ovšem problémy pouze smetli ze stolu, aniž by je jakýmkoli způsobem řešili. Věci, které se vztahovaly k národnostním požadavkům, ve skutečnosti pak celá historie národnostních třenic a konfli</w:t>
      </w:r>
      <w:r>
        <w:t>k</w:t>
      </w:r>
      <w:r>
        <w:t>tů v předválečné Jugoslávii a během celé 2. světové války (včetně hrůzných masakrů) se staly tabu společně se vším, co komunistická moc označovala jako nacionalismus. Národní a národnostní požadavky jednotlivých j</w:t>
      </w:r>
      <w:r>
        <w:t>u</w:t>
      </w:r>
      <w:r>
        <w:t>goslávských národů po desetiletí nebylo možno vznášet a řešit, byly vlastně uzavřeny do jakési politické izol</w:t>
      </w:r>
      <w:r>
        <w:t>a</w:t>
      </w:r>
      <w:r>
        <w:t xml:space="preserve">ce, </w:t>
      </w:r>
      <w:proofErr w:type="gramStart"/>
      <w:r>
        <w:t>odkud  znovu</w:t>
      </w:r>
      <w:proofErr w:type="gramEnd"/>
      <w:r>
        <w:t xml:space="preserve">, v plné síle, leč v primitivnější a o to nebezpečnější formě, vyšly teprve v letech po </w:t>
      </w:r>
      <w:proofErr w:type="spellStart"/>
      <w:r>
        <w:t>Titově</w:t>
      </w:r>
      <w:proofErr w:type="spellEnd"/>
      <w:r>
        <w:t xml:space="preserve"> smrti.</w:t>
      </w:r>
    </w:p>
  </w:footnote>
  <w:footnote w:id="5">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w:t>
      </w:r>
      <w:r>
        <w:rPr>
          <w:i/>
        </w:rPr>
        <w:t xml:space="preserve">Ustav SFRJ. </w:t>
      </w:r>
      <w:r>
        <w:t>Split 1974.</w:t>
      </w:r>
    </w:p>
  </w:footnote>
  <w:footnote w:id="6">
    <w:p w:rsidR="00CC3AB6" w:rsidRDefault="00CC3AB6" w:rsidP="00CC3AB6">
      <w:pPr>
        <w:jc w:val="both"/>
      </w:pPr>
    </w:p>
    <w:p w:rsidR="00CC3AB6" w:rsidRDefault="00CC3AB6" w:rsidP="00CC3AB6">
      <w:pPr>
        <w:jc w:val="both"/>
      </w:pPr>
      <w:r>
        <w:rPr>
          <w:rStyle w:val="Znakapoznpodarou"/>
        </w:rPr>
        <w:footnoteRef/>
      </w:r>
      <w:r>
        <w:t xml:space="preserve"> Tehdy se totiž federální mocenské orgány, které měly stále menší vliv na rozvoj událostí, snažily prohlásit rozhodnutí republik (nejprve Slovinska, poté i Charvátska) o odtržení za neústavní, secesionistické republiky se naopak snažily poukazovat na tuto preambuli. Společné užití pojmu národa a národnosti v preambuli používali někteří albánští politikové na Kosovu k ospravedlnění svých požadavků po vytvoření nové republiky, ba i nez</w:t>
      </w:r>
      <w:r>
        <w:t>á</w:t>
      </w:r>
      <w:r>
        <w:t xml:space="preserve">vislého státu. </w:t>
      </w:r>
    </w:p>
  </w:footnote>
  <w:footnote w:id="7">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Na Balkáně byl touto nekongruencí postižen zejména srbský národ, jehož části zůstaly mimo rámec nově vzniklého národního státu – v 19. stol. v Rakousko-Uhersku (Vojvodina, Slavonie, Lika, </w:t>
      </w:r>
      <w:proofErr w:type="spellStart"/>
      <w:r>
        <w:t>Kordun</w:t>
      </w:r>
      <w:proofErr w:type="spellEnd"/>
      <w:r>
        <w:t xml:space="preserve">, </w:t>
      </w:r>
      <w:proofErr w:type="spellStart"/>
      <w:r>
        <w:t>Banija</w:t>
      </w:r>
      <w:proofErr w:type="spellEnd"/>
      <w:r>
        <w:t>, Bosna a Hercegovina) a Osmanské říši (Kosovo), v </w:t>
      </w:r>
      <w:proofErr w:type="spellStart"/>
      <w:r>
        <w:t>Titově</w:t>
      </w:r>
      <w:proofErr w:type="spellEnd"/>
      <w:r>
        <w:t xml:space="preserve"> Jugoslávii pak v rámci Charvátska a Bosny a Hercegoviny. Podobně postižený byl a dodnes zůstává národ makedonský (konstituovaný ovšem až v průběhu 20. stol.) jenž </w:t>
      </w:r>
      <w:proofErr w:type="gramStart"/>
      <w:r>
        <w:t>je  rozptýlen</w:t>
      </w:r>
      <w:proofErr w:type="gramEnd"/>
      <w:r>
        <w:t>, mimo vlastní makedonský stát, mezi Bulharsko a Řecko, stejně tak jako národ albánský, který kromě mateřské Albánie žije na Kosovu, v Západní Makedonii, severním Řecku a jižní Černé Hoře. Tato nekongruence pak u všech těchto národů v průběhu celé jejich novodobé historie živila a živí nacionalistickou politiku, rozpr</w:t>
      </w:r>
      <w:r>
        <w:t>a</w:t>
      </w:r>
      <w:r>
        <w:t>covávající sen o jednotném velkém státě všech Srbů (Makedonců, Albánců), resp. o Velkém Srbsku, Velké M</w:t>
      </w:r>
      <w:r>
        <w:t>a</w:t>
      </w:r>
      <w:r>
        <w:t>kedonii či Velké Albánii.</w:t>
      </w:r>
    </w:p>
  </w:footnote>
  <w:footnote w:id="8">
    <w:p w:rsidR="00CC3AB6" w:rsidRDefault="00CC3AB6" w:rsidP="00CC3AB6">
      <w:pPr>
        <w:jc w:val="both"/>
      </w:pPr>
      <w:r>
        <w:rPr>
          <w:rStyle w:val="Znakapoznpodarou"/>
        </w:rPr>
        <w:footnoteRef/>
      </w:r>
      <w:r>
        <w:t xml:space="preserve"> MERTUS, J.: </w:t>
      </w:r>
      <w:proofErr w:type="spellStart"/>
      <w:r>
        <w:rPr>
          <w:i/>
        </w:rPr>
        <w:t>Nacionalne</w:t>
      </w:r>
      <w:proofErr w:type="spellEnd"/>
      <w:r>
        <w:rPr>
          <w:i/>
        </w:rPr>
        <w:t xml:space="preserve"> </w:t>
      </w:r>
      <w:proofErr w:type="spellStart"/>
      <w:r>
        <w:rPr>
          <w:i/>
        </w:rPr>
        <w:t>manjine</w:t>
      </w:r>
      <w:proofErr w:type="spellEnd"/>
      <w:r>
        <w:rPr>
          <w:i/>
        </w:rPr>
        <w:t xml:space="preserve"> po </w:t>
      </w:r>
      <w:proofErr w:type="spellStart"/>
      <w:r>
        <w:rPr>
          <w:i/>
        </w:rPr>
        <w:t>Dejtonskom</w:t>
      </w:r>
      <w:proofErr w:type="spellEnd"/>
      <w:r>
        <w:rPr>
          <w:i/>
        </w:rPr>
        <w:t xml:space="preserve"> </w:t>
      </w:r>
      <w:proofErr w:type="spellStart"/>
      <w:r>
        <w:rPr>
          <w:i/>
        </w:rPr>
        <w:t>sporazumu</w:t>
      </w:r>
      <w:proofErr w:type="spellEnd"/>
      <w:r>
        <w:rPr>
          <w:i/>
        </w:rPr>
        <w:t xml:space="preserve">: </w:t>
      </w:r>
      <w:proofErr w:type="spellStart"/>
      <w:r>
        <w:rPr>
          <w:i/>
        </w:rPr>
        <w:t>pouke</w:t>
      </w:r>
      <w:proofErr w:type="spellEnd"/>
      <w:r>
        <w:rPr>
          <w:i/>
        </w:rPr>
        <w:t xml:space="preserve"> </w:t>
      </w:r>
      <w:proofErr w:type="spellStart"/>
      <w:r>
        <w:rPr>
          <w:i/>
        </w:rPr>
        <w:t>iz</w:t>
      </w:r>
      <w:proofErr w:type="spellEnd"/>
      <w:r>
        <w:rPr>
          <w:i/>
        </w:rPr>
        <w:t xml:space="preserve"> </w:t>
      </w:r>
      <w:proofErr w:type="spellStart"/>
      <w:r>
        <w:rPr>
          <w:i/>
        </w:rPr>
        <w:t>istorije</w:t>
      </w:r>
      <w:proofErr w:type="spellEnd"/>
      <w:r>
        <w:t xml:space="preserve">. In: HALPERN, J. </w:t>
      </w:r>
      <w:proofErr w:type="gramStart"/>
      <w:r>
        <w:t>M.</w:t>
      </w:r>
      <w:proofErr w:type="gramEnd"/>
      <w:r>
        <w:t xml:space="preserve"> –</w:t>
      </w:r>
      <w:proofErr w:type="gramStart"/>
      <w:r>
        <w:t>KINDECKEL</w:t>
      </w:r>
      <w:proofErr w:type="gramEnd"/>
      <w:r>
        <w:t>, D. A. [</w:t>
      </w:r>
      <w:proofErr w:type="spellStart"/>
      <w:r>
        <w:t>edit</w:t>
      </w:r>
      <w:proofErr w:type="spellEnd"/>
      <w:r>
        <w:t xml:space="preserve">.] : </w:t>
      </w:r>
      <w:proofErr w:type="spellStart"/>
      <w:r>
        <w:rPr>
          <w:i/>
        </w:rPr>
        <w:t>Neighbors</w:t>
      </w:r>
      <w:proofErr w:type="spellEnd"/>
      <w:r>
        <w:rPr>
          <w:i/>
        </w:rPr>
        <w:t xml:space="preserve"> </w:t>
      </w:r>
      <w:proofErr w:type="spellStart"/>
      <w:r>
        <w:rPr>
          <w:i/>
        </w:rPr>
        <w:t>at</w:t>
      </w:r>
      <w:proofErr w:type="spellEnd"/>
      <w:r>
        <w:rPr>
          <w:i/>
        </w:rPr>
        <w:t xml:space="preserve"> </w:t>
      </w:r>
      <w:proofErr w:type="spellStart"/>
      <w:r>
        <w:rPr>
          <w:i/>
        </w:rPr>
        <w:t>War</w:t>
      </w:r>
      <w:proofErr w:type="spellEnd"/>
      <w:r>
        <w:rPr>
          <w:i/>
        </w:rPr>
        <w:t xml:space="preserve">. </w:t>
      </w:r>
      <w:proofErr w:type="spellStart"/>
      <w:r>
        <w:rPr>
          <w:i/>
        </w:rPr>
        <w:t>Antropological</w:t>
      </w:r>
      <w:proofErr w:type="spellEnd"/>
      <w:r>
        <w:rPr>
          <w:i/>
        </w:rPr>
        <w:t xml:space="preserve"> </w:t>
      </w:r>
      <w:proofErr w:type="spellStart"/>
      <w:r>
        <w:rPr>
          <w:i/>
        </w:rPr>
        <w:t>Perspectives</w:t>
      </w:r>
      <w:proofErr w:type="spellEnd"/>
      <w:r>
        <w:rPr>
          <w:i/>
        </w:rPr>
        <w:t xml:space="preserve"> on </w:t>
      </w:r>
      <w:proofErr w:type="spellStart"/>
      <w:r>
        <w:rPr>
          <w:i/>
        </w:rPr>
        <w:t>Yugoslav</w:t>
      </w:r>
      <w:proofErr w:type="spellEnd"/>
      <w:r>
        <w:rPr>
          <w:i/>
        </w:rPr>
        <w:t xml:space="preserve"> Etnicity, </w:t>
      </w:r>
      <w:proofErr w:type="spellStart"/>
      <w:r>
        <w:rPr>
          <w:i/>
        </w:rPr>
        <w:t>Culture</w:t>
      </w:r>
      <w:proofErr w:type="spellEnd"/>
      <w:r>
        <w:rPr>
          <w:i/>
        </w:rPr>
        <w:t xml:space="preserve"> and </w:t>
      </w:r>
      <w:proofErr w:type="spellStart"/>
      <w:r>
        <w:rPr>
          <w:i/>
        </w:rPr>
        <w:t>Hist</w:t>
      </w:r>
      <w:r>
        <w:rPr>
          <w:i/>
        </w:rPr>
        <w:t>o</w:t>
      </w:r>
      <w:r>
        <w:rPr>
          <w:i/>
        </w:rPr>
        <w:t>ry</w:t>
      </w:r>
      <w:proofErr w:type="spellEnd"/>
      <w:r>
        <w:rPr>
          <w:i/>
        </w:rPr>
        <w:t xml:space="preserve">. </w:t>
      </w:r>
      <w:proofErr w:type="spellStart"/>
      <w:r>
        <w:t>The</w:t>
      </w:r>
      <w:proofErr w:type="spellEnd"/>
      <w:r>
        <w:t xml:space="preserve"> </w:t>
      </w:r>
      <w:proofErr w:type="spellStart"/>
      <w:r>
        <w:t>Pensylvania</w:t>
      </w:r>
      <w:proofErr w:type="spellEnd"/>
      <w:r>
        <w:t xml:space="preserve"> </w:t>
      </w:r>
      <w:proofErr w:type="spellStart"/>
      <w:r>
        <w:t>State</w:t>
      </w:r>
      <w:proofErr w:type="spellEnd"/>
      <w:r>
        <w:t xml:space="preserve"> University 2000; Beograd 2002, s. 303</w:t>
      </w:r>
    </w:p>
  </w:footnote>
  <w:footnote w:id="9">
    <w:p w:rsidR="00CC3AB6" w:rsidRDefault="00CC3AB6" w:rsidP="00CC3AB6">
      <w:pPr>
        <w:jc w:val="both"/>
      </w:pPr>
    </w:p>
    <w:p w:rsidR="00CC3AB6" w:rsidRDefault="00CC3AB6" w:rsidP="00CC3AB6">
      <w:pPr>
        <w:jc w:val="both"/>
      </w:pPr>
      <w:r>
        <w:rPr>
          <w:rStyle w:val="Znakapoznpodarou"/>
        </w:rPr>
        <w:footnoteRef/>
      </w:r>
      <w:r>
        <w:t xml:space="preserve"> Dalším institucionálním prvkem, který protlačoval národní identitu do prvního plánu, byl systém národnostn</w:t>
      </w:r>
      <w:r>
        <w:t>í</w:t>
      </w:r>
      <w:r>
        <w:t xml:space="preserve">ho klíče, jenž měl zaručit proporcionální </w:t>
      </w:r>
      <w:proofErr w:type="spellStart"/>
      <w:r>
        <w:t>zastoupenost</w:t>
      </w:r>
      <w:proofErr w:type="spellEnd"/>
      <w:r>
        <w:t xml:space="preserve"> všech národností žijících v té které republice ve význa</w:t>
      </w:r>
      <w:r>
        <w:t>m</w:t>
      </w:r>
      <w:r>
        <w:t xml:space="preserve">ných funkcích, což se nakonec stalo prostředkem k tomu, aby </w:t>
      </w:r>
      <w:proofErr w:type="gramStart"/>
      <w:r>
        <w:t>se  mnozí</w:t>
      </w:r>
      <w:proofErr w:type="gramEnd"/>
      <w:r>
        <w:t xml:space="preserve"> neodborníci či korumpovaní členové KS dostali do významných postavení pouze proto, že byli příslušníky národnostní menšiny, jíž mělo podle klíče místo připadnout. </w:t>
      </w:r>
    </w:p>
    <w:p w:rsidR="00CC3AB6" w:rsidRDefault="00CC3AB6" w:rsidP="00CC3AB6">
      <w:pPr>
        <w:pStyle w:val="Textpoznpodarou"/>
        <w:jc w:val="both"/>
      </w:pPr>
    </w:p>
  </w:footnote>
  <w:footnote w:id="10">
    <w:p w:rsidR="00CC3AB6" w:rsidRDefault="00CC3AB6" w:rsidP="00CC3AB6">
      <w:pPr>
        <w:pStyle w:val="Textpoznpodarou"/>
        <w:jc w:val="both"/>
      </w:pPr>
      <w:r>
        <w:rPr>
          <w:rStyle w:val="Znakapoznpodarou"/>
        </w:rPr>
        <w:footnoteRef/>
      </w:r>
      <w:r>
        <w:t xml:space="preserve"> </w:t>
      </w:r>
      <w:r>
        <w:rPr>
          <w:caps/>
        </w:rPr>
        <w:t xml:space="preserve">DimitrijeviĆ, V.: </w:t>
      </w:r>
      <w:proofErr w:type="spellStart"/>
      <w:r>
        <w:rPr>
          <w:i/>
        </w:rPr>
        <w:t>Sukobi</w:t>
      </w:r>
      <w:proofErr w:type="spellEnd"/>
      <w:r>
        <w:rPr>
          <w:i/>
        </w:rPr>
        <w:t xml:space="preserve"> oko </w:t>
      </w:r>
      <w:proofErr w:type="spellStart"/>
      <w:r>
        <w:rPr>
          <w:i/>
        </w:rPr>
        <w:t>ustava</w:t>
      </w:r>
      <w:proofErr w:type="spellEnd"/>
      <w:r>
        <w:rPr>
          <w:i/>
        </w:rPr>
        <w:t xml:space="preserve"> </w:t>
      </w:r>
      <w:proofErr w:type="spellStart"/>
      <w:r>
        <w:rPr>
          <w:i/>
        </w:rPr>
        <w:t>iz</w:t>
      </w:r>
      <w:proofErr w:type="spellEnd"/>
      <w:r>
        <w:rPr>
          <w:i/>
        </w:rPr>
        <w:t xml:space="preserve"> 1974. </w:t>
      </w:r>
      <w:r>
        <w:t xml:space="preserve"> In: </w:t>
      </w:r>
      <w:proofErr w:type="spellStart"/>
      <w:r>
        <w:t>Srpska</w:t>
      </w:r>
      <w:proofErr w:type="spellEnd"/>
      <w:r>
        <w:t xml:space="preserve"> strana </w:t>
      </w:r>
      <w:proofErr w:type="spellStart"/>
      <w:r>
        <w:t>rata</w:t>
      </w:r>
      <w:proofErr w:type="spellEnd"/>
      <w:r>
        <w:t>. Beograd 1996, s. 455.</w:t>
      </w:r>
    </w:p>
    <w:p w:rsidR="00CC3AB6" w:rsidRDefault="00CC3AB6" w:rsidP="00CC3AB6">
      <w:pPr>
        <w:pStyle w:val="Textpoznpodarou"/>
        <w:jc w:val="both"/>
      </w:pPr>
    </w:p>
  </w:footnote>
  <w:footnote w:id="11">
    <w:p w:rsidR="00CC3AB6" w:rsidRDefault="00CC3AB6" w:rsidP="00CC3AB6">
      <w:pPr>
        <w:jc w:val="both"/>
      </w:pPr>
      <w:r>
        <w:rPr>
          <w:rStyle w:val="Znakapoznpodarou"/>
        </w:rPr>
        <w:footnoteRef/>
      </w:r>
      <w:r>
        <w:t xml:space="preserve"> Udělováním instrukcí celé delegaci dosáhly republikové elity úplné eliminace jednak individuality jednotl</w:t>
      </w:r>
      <w:r>
        <w:t>i</w:t>
      </w:r>
      <w:r>
        <w:t xml:space="preserve">vých </w:t>
      </w:r>
      <w:proofErr w:type="gramStart"/>
      <w:r>
        <w:t>delegátů a  zabezpečily</w:t>
      </w:r>
      <w:proofErr w:type="gramEnd"/>
      <w:r>
        <w:t xml:space="preserve"> se tak před působením </w:t>
      </w:r>
      <w:proofErr w:type="spellStart"/>
      <w:r>
        <w:t>nadrepublikových</w:t>
      </w:r>
      <w:proofErr w:type="spellEnd"/>
      <w:r>
        <w:t xml:space="preserve"> spojenectví a federalistických „odpadl</w:t>
      </w:r>
      <w:r>
        <w:t>í</w:t>
      </w:r>
      <w:r>
        <w:t>ků“, kterým nešlo o pouhé parciální zájmy jednotlivých republik.</w:t>
      </w:r>
    </w:p>
  </w:footnote>
  <w:footnote w:id="12">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To se stalo zcela zřejmým na vrcholu jugoslávské krize, když se skupina členů tohoto mocenského orgánu pod srbskou kontrolou, k níž došlo na základě tzv. „</w:t>
      </w:r>
      <w:proofErr w:type="spellStart"/>
      <w:r>
        <w:t>antibyrokratické</w:t>
      </w:r>
      <w:proofErr w:type="spellEnd"/>
      <w:r>
        <w:t xml:space="preserve"> revoluce, při níž byla svržena vedení do té doby </w:t>
      </w:r>
      <w:proofErr w:type="spellStart"/>
      <w:r>
        <w:t>neloyálních</w:t>
      </w:r>
      <w:proofErr w:type="spellEnd"/>
      <w:r>
        <w:t xml:space="preserve"> komunistických organizací obou autonomních oblastí a Černé Hory (Černá Hora, Srbsko, Kosovo, Vojvodina), pokoušela zamezit tomu, aby se v souladu s pravidelnou rotací stal předsedou předsednictva </w:t>
      </w:r>
      <w:proofErr w:type="spellStart"/>
      <w:r>
        <w:t>Stjepan</w:t>
      </w:r>
      <w:proofErr w:type="spellEnd"/>
      <w:r>
        <w:t xml:space="preserve"> </w:t>
      </w:r>
      <w:proofErr w:type="spellStart"/>
      <w:r>
        <w:t>Mesić</w:t>
      </w:r>
      <w:proofErr w:type="spellEnd"/>
      <w:r>
        <w:t>, který byl do tohoto orgánu delegován nekomunistickou a nacionalistickou většinou charvátského parl</w:t>
      </w:r>
      <w:r>
        <w:t>a</w:t>
      </w:r>
      <w:r>
        <w:t xml:space="preserve">mentu. </w:t>
      </w:r>
    </w:p>
  </w:footnote>
  <w:footnote w:id="13">
    <w:p w:rsidR="00CC3AB6" w:rsidRDefault="00CC3AB6" w:rsidP="00CC3AB6">
      <w:pPr>
        <w:jc w:val="both"/>
      </w:pPr>
    </w:p>
    <w:p w:rsidR="00CC3AB6" w:rsidRDefault="00CC3AB6" w:rsidP="00CC3AB6">
      <w:pPr>
        <w:jc w:val="both"/>
      </w:pPr>
      <w:r>
        <w:rPr>
          <w:rStyle w:val="Znakapoznpodarou"/>
        </w:rPr>
        <w:footnoteRef/>
      </w:r>
      <w:r>
        <w:t xml:space="preserve"> Kandidáta na funkci svazového premiéra ovšem vybírala mocenská špička SKJ a jeho jméno bylo znáno dlo</w:t>
      </w:r>
      <w:r>
        <w:t>u</w:t>
      </w:r>
      <w:r>
        <w:t xml:space="preserve">ho před bezprostřední volbou, která tak vlastně byla pouze schvalováním. Podle nepsaných pravidel většinou nebyl nový premiér ze stejné </w:t>
      </w:r>
      <w:proofErr w:type="gramStart"/>
      <w:r>
        <w:t>republiky jako</w:t>
      </w:r>
      <w:proofErr w:type="gramEnd"/>
      <w:r>
        <w:t xml:space="preserve"> ten předcházejí, ale nehledělo se na jeho etnickou příslušnost. Po přijetí ústavy v roce 1974 se tak ve funkcích vystřídali </w:t>
      </w:r>
      <w:proofErr w:type="spellStart"/>
      <w:r>
        <w:t>Džemal</w:t>
      </w:r>
      <w:proofErr w:type="spellEnd"/>
      <w:r>
        <w:t xml:space="preserve"> </w:t>
      </w:r>
      <w:proofErr w:type="spellStart"/>
      <w:r>
        <w:t>Bijedić</w:t>
      </w:r>
      <w:proofErr w:type="spellEnd"/>
      <w:r>
        <w:t xml:space="preserve">, Muslim z Bosny a Hercegoviny, </w:t>
      </w:r>
      <w:proofErr w:type="spellStart"/>
      <w:r>
        <w:t>Veselin</w:t>
      </w:r>
      <w:proofErr w:type="spellEnd"/>
      <w:r>
        <w:t xml:space="preserve"> </w:t>
      </w:r>
      <w:proofErr w:type="spellStart"/>
      <w:r>
        <w:t>Djuranović</w:t>
      </w:r>
      <w:proofErr w:type="spellEnd"/>
      <w:r>
        <w:t xml:space="preserve">, Černohorec, Milka </w:t>
      </w:r>
      <w:proofErr w:type="spellStart"/>
      <w:r>
        <w:t>Planinc</w:t>
      </w:r>
      <w:proofErr w:type="spellEnd"/>
      <w:r>
        <w:t xml:space="preserve">, Charvátka, Branko </w:t>
      </w:r>
      <w:proofErr w:type="spellStart"/>
      <w:r>
        <w:t>Mikulić</w:t>
      </w:r>
      <w:proofErr w:type="spellEnd"/>
      <w:r>
        <w:t xml:space="preserve">, Charvát z Hercegoviny a Ante </w:t>
      </w:r>
      <w:proofErr w:type="spellStart"/>
      <w:r>
        <w:t>Marković</w:t>
      </w:r>
      <w:proofErr w:type="spellEnd"/>
      <w:r>
        <w:t>, Charvát z Charvátska. Akčnost federální vlády omezovaly ostatní federální orgány, které často odmítaly, zejm</w:t>
      </w:r>
      <w:r>
        <w:t>é</w:t>
      </w:r>
      <w:r>
        <w:t xml:space="preserve">na v posledních letech Jugoslávie, schválit vládní návrhy, přesto však existovaly možnosti vládních nařízení, díky nimž se například poslednímu jugoslávskému premiéru Ante </w:t>
      </w:r>
      <w:proofErr w:type="spellStart"/>
      <w:r>
        <w:t>Markovići</w:t>
      </w:r>
      <w:proofErr w:type="spellEnd"/>
      <w:r>
        <w:t xml:space="preserve"> podařilo prosadit principy úspěšné ekonomické r</w:t>
      </w:r>
      <w:r>
        <w:t>e</w:t>
      </w:r>
      <w:r>
        <w:t>formy v roce 1989.</w:t>
      </w:r>
    </w:p>
  </w:footnote>
  <w:footnote w:id="14">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w:t>
      </w:r>
      <w:r>
        <w:rPr>
          <w:caps/>
        </w:rPr>
        <w:t xml:space="preserve">Dimitrijević, V.: </w:t>
      </w:r>
      <w:proofErr w:type="spellStart"/>
      <w:r>
        <w:rPr>
          <w:i/>
        </w:rPr>
        <w:t>Sukobi</w:t>
      </w:r>
      <w:proofErr w:type="spellEnd"/>
      <w:r>
        <w:rPr>
          <w:i/>
        </w:rPr>
        <w:t xml:space="preserve"> oko </w:t>
      </w:r>
      <w:proofErr w:type="spellStart"/>
      <w:r>
        <w:rPr>
          <w:i/>
        </w:rPr>
        <w:t>ustava</w:t>
      </w:r>
      <w:proofErr w:type="spellEnd"/>
      <w:r>
        <w:rPr>
          <w:i/>
        </w:rPr>
        <w:t xml:space="preserve"> </w:t>
      </w:r>
      <w:proofErr w:type="spellStart"/>
      <w:r>
        <w:rPr>
          <w:i/>
        </w:rPr>
        <w:t>iz</w:t>
      </w:r>
      <w:proofErr w:type="spellEnd"/>
      <w:r>
        <w:rPr>
          <w:i/>
        </w:rPr>
        <w:t xml:space="preserve"> 1974. </w:t>
      </w:r>
      <w:r>
        <w:t xml:space="preserve"> In: </w:t>
      </w:r>
      <w:proofErr w:type="spellStart"/>
      <w:r>
        <w:t>Srpska</w:t>
      </w:r>
      <w:proofErr w:type="spellEnd"/>
      <w:r>
        <w:t xml:space="preserve"> strana </w:t>
      </w:r>
      <w:proofErr w:type="spellStart"/>
      <w:r>
        <w:t>rata</w:t>
      </w:r>
      <w:proofErr w:type="spellEnd"/>
      <w:r>
        <w:t>. Beograd 1996, s. 463.</w:t>
      </w:r>
    </w:p>
  </w:footnote>
  <w:footnote w:id="15">
    <w:p w:rsidR="00CC3AB6" w:rsidRDefault="00CC3AB6" w:rsidP="00CC3AB6">
      <w:pPr>
        <w:pStyle w:val="Textpoznpodarou"/>
        <w:jc w:val="both"/>
      </w:pPr>
    </w:p>
    <w:p w:rsidR="00CC3AB6" w:rsidRDefault="00CC3AB6" w:rsidP="00CC3AB6">
      <w:pPr>
        <w:pStyle w:val="Textpoznpodarou"/>
        <w:jc w:val="both"/>
      </w:pPr>
      <w:r>
        <w:rPr>
          <w:rStyle w:val="Znakapoznpodarou"/>
        </w:rPr>
        <w:footnoteRef/>
      </w:r>
      <w:r>
        <w:t xml:space="preserve"> JLA, resp. její generalita, ovšem nemohla zapomenout svého bývalého vrchního velitele a nebyla spokojena, že jej zaměnilo kolektivní předsednictvo, v jehož složení fungovali od roku 1990 i nekomunisté. Technokraté a reformisté, směřující k privatizaci a pluralismu, byli pro armádu podezřelí, ba nepřijatelní.</w:t>
      </w:r>
    </w:p>
    <w:p w:rsidR="00CC3AB6" w:rsidRDefault="00CC3AB6" w:rsidP="00CC3AB6">
      <w:pPr>
        <w:pStyle w:val="Textpoznpodarou"/>
        <w:jc w:val="both"/>
      </w:pPr>
      <w:r>
        <w:t xml:space="preserve">Generalita JLA jakožto poslední bašta </w:t>
      </w:r>
      <w:proofErr w:type="spellStart"/>
      <w:r>
        <w:t>titoismu</w:t>
      </w:r>
      <w:proofErr w:type="spellEnd"/>
      <w:r>
        <w:t xml:space="preserve"> a pravověrného konzervativního komunismu se během rozpadu Jugoslávie nakonec přidala ke Slobodanu </w:t>
      </w:r>
      <w:proofErr w:type="spellStart"/>
      <w:r>
        <w:t>Miloševićovi</w:t>
      </w:r>
      <w:proofErr w:type="spellEnd"/>
      <w:r>
        <w:t xml:space="preserve"> a jeho proudu, ovšem nikoli proto, že většina důstojníků byla Srby a Černohorci, leč kvůli ideologické blízkosti či kvůli vidině zachování privilegií. Žádný z důležitých velitelů JLA se nikdy </w:t>
      </w:r>
      <w:proofErr w:type="gramStart"/>
      <w:r>
        <w:t>nedeklaroval</w:t>
      </w:r>
      <w:proofErr w:type="gramEnd"/>
      <w:r>
        <w:t xml:space="preserve"> ani </w:t>
      </w:r>
      <w:proofErr w:type="gramStart"/>
      <w:r>
        <w:t>nevystupoval</w:t>
      </w:r>
      <w:proofErr w:type="gramEnd"/>
      <w:r>
        <w:t xml:space="preserve"> jako srbský nacionalista a většina z nich nikdy nemohla přebolet pád komunismu a rozpad SSSR.  Nepřipojili se k srbskému vedení proto, že by byli Srbové a že by jim sláva a zájmy srbského národa byly nade vše, leč proto, že Srbové, respektive jejich vedení, zůstalo (podle nich) na straně komunismu a socialismu. Kdyby komunistická strana (pokud možno co nejméně transformovaná) zv</w:t>
      </w:r>
      <w:r>
        <w:t>í</w:t>
      </w:r>
      <w:r>
        <w:t>tězila v některé z jiných republik, možná by se celá situace vyvíjela zcela jinak a generalita by se orientovala v jiném směru. Velící generály z období let 1990–1992 nakonec otevřeně nacionalistická mocenská elita v </w:t>
      </w:r>
      <w:proofErr w:type="gramStart"/>
      <w:r>
        <w:t>Srbsku  odvolala</w:t>
      </w:r>
      <w:proofErr w:type="gramEnd"/>
      <w:r>
        <w:t xml:space="preserve"> z činné služby.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B6"/>
    <w:rsid w:val="00536F95"/>
    <w:rsid w:val="00CC3AB6"/>
    <w:rsid w:val="00EB0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AB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C3AB6"/>
    <w:pPr>
      <w:keepNext/>
      <w:ind w:firstLine="709"/>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3AB6"/>
    <w:rPr>
      <w:rFonts w:ascii="Times New Roman" w:eastAsia="Times New Roman" w:hAnsi="Times New Roman" w:cs="Times New Roman"/>
      <w:b/>
      <w:sz w:val="36"/>
      <w:szCs w:val="20"/>
      <w:lang w:eastAsia="cs-CZ"/>
    </w:rPr>
  </w:style>
  <w:style w:type="character" w:styleId="Znakapoznpodarou">
    <w:name w:val="footnote reference"/>
    <w:basedOn w:val="Standardnpsmoodstavce"/>
    <w:semiHidden/>
    <w:rsid w:val="00CC3AB6"/>
    <w:rPr>
      <w:vertAlign w:val="superscript"/>
    </w:rPr>
  </w:style>
  <w:style w:type="paragraph" w:styleId="Textpoznpodarou">
    <w:name w:val="footnote text"/>
    <w:basedOn w:val="Normln"/>
    <w:link w:val="TextpoznpodarouChar"/>
    <w:semiHidden/>
    <w:rsid w:val="00CC3AB6"/>
  </w:style>
  <w:style w:type="character" w:customStyle="1" w:styleId="TextpoznpodarouChar">
    <w:name w:val="Text pozn. pod čarou Char"/>
    <w:basedOn w:val="Standardnpsmoodstavce"/>
    <w:link w:val="Textpoznpodarou"/>
    <w:semiHidden/>
    <w:rsid w:val="00CC3AB6"/>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AB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C3AB6"/>
    <w:pPr>
      <w:keepNext/>
      <w:ind w:firstLine="709"/>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3AB6"/>
    <w:rPr>
      <w:rFonts w:ascii="Times New Roman" w:eastAsia="Times New Roman" w:hAnsi="Times New Roman" w:cs="Times New Roman"/>
      <w:b/>
      <w:sz w:val="36"/>
      <w:szCs w:val="20"/>
      <w:lang w:eastAsia="cs-CZ"/>
    </w:rPr>
  </w:style>
  <w:style w:type="character" w:styleId="Znakapoznpodarou">
    <w:name w:val="footnote reference"/>
    <w:basedOn w:val="Standardnpsmoodstavce"/>
    <w:semiHidden/>
    <w:rsid w:val="00CC3AB6"/>
    <w:rPr>
      <w:vertAlign w:val="superscript"/>
    </w:rPr>
  </w:style>
  <w:style w:type="paragraph" w:styleId="Textpoznpodarou">
    <w:name w:val="footnote text"/>
    <w:basedOn w:val="Normln"/>
    <w:link w:val="TextpoznpodarouChar"/>
    <w:semiHidden/>
    <w:rsid w:val="00CC3AB6"/>
  </w:style>
  <w:style w:type="character" w:customStyle="1" w:styleId="TextpoznpodarouChar">
    <w:name w:val="Text pozn. pod čarou Char"/>
    <w:basedOn w:val="Standardnpsmoodstavce"/>
    <w:link w:val="Textpoznpodarou"/>
    <w:semiHidden/>
    <w:rsid w:val="00CC3AB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7365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Štěpánek</dc:creator>
  <cp:lastModifiedBy>Václav Štěpánek</cp:lastModifiedBy>
  <cp:revision>1</cp:revision>
  <dcterms:created xsi:type="dcterms:W3CDTF">2013-02-04T15:27:00Z</dcterms:created>
  <dcterms:modified xsi:type="dcterms:W3CDTF">2013-02-04T15:29:00Z</dcterms:modified>
</cp:coreProperties>
</file>