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01DC" w14:textId="267A5366" w:rsidR="00A67816" w:rsidRDefault="00D57044" w:rsidP="000700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6E2">
        <w:rPr>
          <w:rFonts w:ascii="Times New Roman" w:hAnsi="Times New Roman" w:cs="Times New Roman"/>
          <w:b/>
          <w:sz w:val="24"/>
          <w:szCs w:val="24"/>
          <w:u w:val="single"/>
        </w:rPr>
        <w:t>Zá</w:t>
      </w:r>
      <w:r w:rsidR="003D07B4">
        <w:rPr>
          <w:rFonts w:ascii="Times New Roman" w:hAnsi="Times New Roman" w:cs="Times New Roman"/>
          <w:b/>
          <w:sz w:val="24"/>
          <w:szCs w:val="24"/>
          <w:u w:val="single"/>
        </w:rPr>
        <w:t>kladní pravidla citování</w:t>
      </w:r>
      <w:r w:rsidRPr="00D216E2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odborném textu:</w:t>
      </w:r>
    </w:p>
    <w:p w14:paraId="3DDE3750" w14:textId="10FCC7F0" w:rsidR="002320DA" w:rsidRDefault="002320DA" w:rsidP="000700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2501DE" w14:textId="77777777" w:rsidR="00D57044" w:rsidRPr="00D216E2" w:rsidRDefault="00D57044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6E2">
        <w:rPr>
          <w:rFonts w:ascii="Times New Roman" w:hAnsi="Times New Roman" w:cs="Times New Roman"/>
          <w:b/>
          <w:sz w:val="24"/>
          <w:szCs w:val="24"/>
        </w:rPr>
        <w:t xml:space="preserve">Samostatný odkaz na zdroj uvádíme v závorce přímo v textu: </w:t>
      </w:r>
    </w:p>
    <w:p w14:paraId="582501DF" w14:textId="77777777" w:rsidR="00D57044" w:rsidRPr="00D216E2" w:rsidRDefault="00D57044" w:rsidP="000700DC">
      <w:pPr>
        <w:jc w:val="both"/>
        <w:rPr>
          <w:rFonts w:ascii="Times New Roma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sz w:val="24"/>
          <w:szCs w:val="24"/>
        </w:rPr>
        <w:t xml:space="preserve">O tom hovoří </w:t>
      </w:r>
      <w:r w:rsidR="007F3884" w:rsidRPr="00D216E2">
        <w:rPr>
          <w:rFonts w:ascii="Times New Roman" w:hAnsi="Times New Roman" w:cs="Times New Roman"/>
          <w:sz w:val="24"/>
          <w:szCs w:val="24"/>
        </w:rPr>
        <w:t xml:space="preserve">rovněž </w:t>
      </w:r>
      <w:proofErr w:type="spellStart"/>
      <w:r w:rsidRPr="00D216E2">
        <w:rPr>
          <w:rFonts w:ascii="Times New Roman" w:hAnsi="Times New Roman" w:cs="Times New Roman"/>
          <w:sz w:val="24"/>
          <w:szCs w:val="24"/>
        </w:rPr>
        <w:t>Plaks</w:t>
      </w:r>
      <w:proofErr w:type="spellEnd"/>
      <w:r w:rsidRPr="00D216E2">
        <w:rPr>
          <w:rFonts w:ascii="Times New Roman" w:hAnsi="Times New Roman" w:cs="Times New Roman"/>
          <w:sz w:val="24"/>
          <w:szCs w:val="24"/>
        </w:rPr>
        <w:t xml:space="preserve"> (2006, </w:t>
      </w:r>
      <w:r w:rsidR="000700DC">
        <w:rPr>
          <w:rFonts w:ascii="Times New Roman" w:hAnsi="Times New Roman" w:cs="Times New Roman"/>
          <w:sz w:val="24"/>
          <w:szCs w:val="24"/>
        </w:rPr>
        <w:t xml:space="preserve">s. </w:t>
      </w:r>
      <w:r w:rsidRPr="00D216E2">
        <w:rPr>
          <w:rFonts w:ascii="Times New Roman" w:hAnsi="Times New Roman" w:cs="Times New Roman"/>
          <w:sz w:val="24"/>
          <w:szCs w:val="24"/>
        </w:rPr>
        <w:t>130)</w:t>
      </w:r>
      <w:r w:rsidR="007F3884" w:rsidRPr="00D216E2">
        <w:rPr>
          <w:rFonts w:ascii="Times New Roman" w:hAnsi="Times New Roman" w:cs="Times New Roman"/>
          <w:sz w:val="24"/>
          <w:szCs w:val="24"/>
        </w:rPr>
        <w:t>, který se domnívá, že ……..</w:t>
      </w:r>
    </w:p>
    <w:p w14:paraId="582501E0" w14:textId="77777777" w:rsidR="00D57044" w:rsidRPr="00D216E2" w:rsidRDefault="00D57044" w:rsidP="000700DC">
      <w:pPr>
        <w:jc w:val="both"/>
        <w:rPr>
          <w:rFonts w:ascii="Times New Roma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sz w:val="24"/>
          <w:szCs w:val="24"/>
        </w:rPr>
        <w:t>Někteří autoři se domnívají, že toto téma zde není zpracováno poprvé (Lomová</w:t>
      </w:r>
      <w:r w:rsidR="00AE407E">
        <w:rPr>
          <w:rFonts w:ascii="Times New Roman" w:hAnsi="Times New Roman" w:cs="Times New Roman"/>
          <w:sz w:val="24"/>
          <w:szCs w:val="24"/>
        </w:rPr>
        <w:t>,</w:t>
      </w:r>
      <w:r w:rsidRPr="00D216E2">
        <w:rPr>
          <w:rFonts w:ascii="Times New Roman" w:hAnsi="Times New Roman" w:cs="Times New Roman"/>
          <w:sz w:val="24"/>
          <w:szCs w:val="24"/>
        </w:rPr>
        <w:t xml:space="preserve"> 2004,</w:t>
      </w:r>
      <w:r w:rsidR="000700DC">
        <w:rPr>
          <w:rFonts w:ascii="Times New Roman" w:hAnsi="Times New Roman" w:cs="Times New Roman"/>
          <w:sz w:val="24"/>
          <w:szCs w:val="24"/>
        </w:rPr>
        <w:t xml:space="preserve"> s.</w:t>
      </w:r>
      <w:r w:rsidRPr="00D216E2">
        <w:rPr>
          <w:rFonts w:ascii="Times New Roman" w:hAnsi="Times New Roman" w:cs="Times New Roman"/>
          <w:sz w:val="24"/>
          <w:szCs w:val="24"/>
        </w:rPr>
        <w:t xml:space="preserve"> 39).</w:t>
      </w:r>
    </w:p>
    <w:p w14:paraId="582501E1" w14:textId="77777777" w:rsidR="000700DC" w:rsidRDefault="000700DC" w:rsidP="000700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501E2" w14:textId="77777777" w:rsidR="00AE01D5" w:rsidRPr="00D216E2" w:rsidRDefault="00AE01D5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6E2">
        <w:rPr>
          <w:rFonts w:ascii="Times New Roman" w:hAnsi="Times New Roman" w:cs="Times New Roman"/>
          <w:b/>
          <w:sz w:val="24"/>
          <w:szCs w:val="24"/>
        </w:rPr>
        <w:t>Přímá citace:</w:t>
      </w:r>
    </w:p>
    <w:p w14:paraId="582501E3" w14:textId="77777777" w:rsidR="00AE01D5" w:rsidRPr="00D216E2" w:rsidRDefault="00AE01D5" w:rsidP="000700DC">
      <w:pPr>
        <w:jc w:val="both"/>
        <w:rPr>
          <w:rFonts w:ascii="Times New Roma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sz w:val="24"/>
          <w:szCs w:val="24"/>
        </w:rPr>
        <w:t xml:space="preserve">Přímá citace je vždy v uvozovkách a následuje za ní odkaz na zdroj. Dbejte na pozici uvozovek vzhledem k interpunkci. </w:t>
      </w:r>
      <w:r w:rsidR="006D276C" w:rsidRPr="00D216E2">
        <w:rPr>
          <w:rFonts w:ascii="Times New Roman" w:hAnsi="Times New Roman" w:cs="Times New Roman"/>
          <w:sz w:val="24"/>
          <w:szCs w:val="24"/>
        </w:rPr>
        <w:t>Delší citace může být oddělena od hlavního textu jinými prostředky (velikost písma, kurz</w:t>
      </w:r>
      <w:r w:rsidR="000700DC">
        <w:rPr>
          <w:rFonts w:ascii="Times New Roman" w:hAnsi="Times New Roman" w:cs="Times New Roman"/>
          <w:sz w:val="24"/>
          <w:szCs w:val="24"/>
        </w:rPr>
        <w:t xml:space="preserve">íva, odsazení) – pak nemusí být </w:t>
      </w:r>
      <w:r w:rsidR="006D276C" w:rsidRPr="00D216E2">
        <w:rPr>
          <w:rFonts w:ascii="Times New Roman" w:hAnsi="Times New Roman" w:cs="Times New Roman"/>
          <w:sz w:val="24"/>
          <w:szCs w:val="24"/>
        </w:rPr>
        <w:t>v</w:t>
      </w:r>
      <w:r w:rsidR="009A6090" w:rsidRPr="00D216E2">
        <w:rPr>
          <w:rFonts w:ascii="Times New Roman" w:hAnsi="Times New Roman" w:cs="Times New Roman"/>
          <w:sz w:val="24"/>
          <w:szCs w:val="24"/>
        </w:rPr>
        <w:t> </w:t>
      </w:r>
      <w:r w:rsidR="006D276C" w:rsidRPr="00D216E2">
        <w:rPr>
          <w:rFonts w:ascii="Times New Roman" w:hAnsi="Times New Roman" w:cs="Times New Roman"/>
          <w:sz w:val="24"/>
          <w:szCs w:val="24"/>
        </w:rPr>
        <w:t>uvozovkách</w:t>
      </w:r>
      <w:r w:rsidR="009A6090" w:rsidRPr="00D216E2">
        <w:rPr>
          <w:rFonts w:ascii="Times New Roman" w:hAnsi="Times New Roman" w:cs="Times New Roman"/>
          <w:sz w:val="24"/>
          <w:szCs w:val="24"/>
        </w:rPr>
        <w:t>.</w:t>
      </w:r>
    </w:p>
    <w:p w14:paraId="582501E4" w14:textId="77777777" w:rsidR="006D276C" w:rsidRPr="00D216E2" w:rsidRDefault="009A6090" w:rsidP="000700DC">
      <w:pPr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D216E2">
        <w:rPr>
          <w:rFonts w:ascii="Times New Roman" w:eastAsia="SimSun" w:hAnsi="Times New Roman" w:cs="Times New Roman"/>
          <w:sz w:val="24"/>
          <w:szCs w:val="24"/>
          <w:u w:val="single"/>
        </w:rPr>
        <w:t>Příklady:</w:t>
      </w:r>
    </w:p>
    <w:p w14:paraId="582501E5" w14:textId="77777777" w:rsidR="009A6090" w:rsidRPr="000700DC" w:rsidRDefault="00AE01D5" w:rsidP="000700DC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Podle Andrewa </w:t>
      </w:r>
      <w:proofErr w:type="spellStart"/>
      <w:r w:rsidRPr="00D216E2">
        <w:rPr>
          <w:rFonts w:ascii="Times New Roman" w:eastAsia="SimSun" w:hAnsi="Times New Roman" w:cs="Times New Roman"/>
          <w:sz w:val="24"/>
          <w:szCs w:val="24"/>
        </w:rPr>
        <w:t>Plakse</w:t>
      </w:r>
      <w:proofErr w:type="spellEnd"/>
      <w:r w:rsidRPr="00D216E2">
        <w:rPr>
          <w:rFonts w:ascii="Times New Roman" w:eastAsia="SimSun" w:hAnsi="Times New Roman" w:cs="Times New Roman"/>
          <w:sz w:val="24"/>
          <w:szCs w:val="24"/>
        </w:rPr>
        <w:t xml:space="preserve"> patří mezi hlavní rozdíly mezi západní a tradiční čínskou narativní literaturou „rozdíl mezi primátem vypravěčské funkce v jedné tradici a funkcí přenosu hypotetického nebo skutečného faktu v tradici druhé“ (</w:t>
      </w:r>
      <w:proofErr w:type="spellStart"/>
      <w:r w:rsidRPr="00D216E2">
        <w:rPr>
          <w:rFonts w:ascii="Times New Roman" w:hAnsi="Times New Roman" w:cs="Times New Roman"/>
          <w:sz w:val="24"/>
          <w:szCs w:val="24"/>
        </w:rPr>
        <w:t>Plaks</w:t>
      </w:r>
      <w:proofErr w:type="spellEnd"/>
      <w:r w:rsidR="00AE407E">
        <w:rPr>
          <w:rFonts w:ascii="Times New Roman" w:hAnsi="Times New Roman" w:cs="Times New Roman"/>
          <w:sz w:val="24"/>
          <w:szCs w:val="24"/>
        </w:rPr>
        <w:t>,</w:t>
      </w:r>
      <w:r w:rsidRPr="00D216E2">
        <w:rPr>
          <w:rFonts w:ascii="Times New Roman" w:hAnsi="Times New Roman" w:cs="Times New Roman"/>
          <w:sz w:val="24"/>
          <w:szCs w:val="24"/>
        </w:rPr>
        <w:t xml:space="preserve"> </w:t>
      </w: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1977, </w:t>
      </w:r>
      <w:r w:rsidR="000700DC"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Pr="00D216E2">
        <w:rPr>
          <w:rFonts w:ascii="Times New Roman" w:eastAsia="SimSun" w:hAnsi="Times New Roman" w:cs="Times New Roman"/>
          <w:sz w:val="24"/>
          <w:szCs w:val="24"/>
        </w:rPr>
        <w:t>314).</w:t>
      </w:r>
    </w:p>
    <w:p w14:paraId="582501E6" w14:textId="77777777" w:rsidR="006D276C" w:rsidRDefault="006D276C" w:rsidP="000700DC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sz w:val="24"/>
          <w:szCs w:val="24"/>
        </w:rPr>
        <w:t xml:space="preserve">Podle Maxe Webera (1951, </w:t>
      </w:r>
      <w:r w:rsidR="000700DC">
        <w:rPr>
          <w:rFonts w:ascii="Times New Roman" w:hAnsi="Times New Roman" w:cs="Times New Roman"/>
          <w:sz w:val="24"/>
          <w:szCs w:val="24"/>
        </w:rPr>
        <w:t xml:space="preserve">s. </w:t>
      </w:r>
      <w:r w:rsidRPr="00D216E2">
        <w:rPr>
          <w:rFonts w:ascii="Times New Roman" w:hAnsi="Times New Roman" w:cs="Times New Roman"/>
          <w:sz w:val="24"/>
          <w:szCs w:val="24"/>
        </w:rPr>
        <w:t>226) měl v</w:t>
      </w:r>
      <w:r w:rsidRPr="00D216E2">
        <w:rPr>
          <w:rFonts w:ascii="Times New Roman" w:eastAsia="SimSun" w:hAnsi="Times New Roman" w:cs="Times New Roman"/>
          <w:sz w:val="24"/>
          <w:szCs w:val="24"/>
        </w:rPr>
        <w:t> protestantismu radikální rozdí</w:t>
      </w:r>
      <w:r w:rsidRPr="00D216E2">
        <w:rPr>
          <w:rFonts w:ascii="Times New Roman" w:hAnsi="Times New Roman" w:cs="Times New Roman"/>
          <w:sz w:val="24"/>
          <w:szCs w:val="24"/>
        </w:rPr>
        <w:t xml:space="preserve">l mezi Bohem a zkaženým světem </w:t>
      </w:r>
      <w:r w:rsidRPr="00D216E2">
        <w:rPr>
          <w:rFonts w:ascii="Times New Roman" w:eastAsia="SimSun" w:hAnsi="Times New Roman" w:cs="Times New Roman"/>
          <w:sz w:val="24"/>
          <w:szCs w:val="24"/>
        </w:rPr>
        <w:t>za následek „skutečně nekonečný úkol racionálně si podrobit a ovládnout svět, tj. racionální, objektivní ‘pokrok’. Tento úkol racionální transformace světa stojí v kontrastu vůči konfuciánskému přizpůsobení se světu“</w:t>
      </w:r>
      <w:r w:rsidR="000700DC">
        <w:rPr>
          <w:rFonts w:ascii="Times New Roman" w:eastAsia="SimSun" w:hAnsi="Times New Roman" w:cs="Times New Roman"/>
          <w:sz w:val="24"/>
          <w:szCs w:val="24"/>
        </w:rPr>
        <w:t>.</w:t>
      </w:r>
    </w:p>
    <w:p w14:paraId="582501E7" w14:textId="77777777" w:rsidR="00D216E2" w:rsidRPr="00D216E2" w:rsidRDefault="000700DC" w:rsidP="0007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Max Weber tvrdí: „</w:t>
      </w:r>
      <w:r w:rsidRPr="00D216E2">
        <w:rPr>
          <w:rFonts w:ascii="Times New Roman" w:eastAsia="SimSun" w:hAnsi="Times New Roman" w:cs="Times New Roman"/>
          <w:sz w:val="24"/>
          <w:szCs w:val="24"/>
        </w:rPr>
        <w:t>Tento úkol racionální transformace světa stojí v kontrastu vůči konfuciánskému přizpůsobení se světu</w:t>
      </w:r>
      <w:r>
        <w:rPr>
          <w:rFonts w:ascii="Times New Roman" w:eastAsia="SimSun" w:hAnsi="Times New Roman" w:cs="Times New Roman"/>
          <w:sz w:val="24"/>
          <w:szCs w:val="24"/>
        </w:rPr>
        <w:t>.“</w:t>
      </w:r>
    </w:p>
    <w:p w14:paraId="582501E8" w14:textId="77777777" w:rsidR="006D276C" w:rsidRPr="00D216E2" w:rsidRDefault="006D276C" w:rsidP="000700DC">
      <w:pPr>
        <w:tabs>
          <w:tab w:val="left" w:pos="360"/>
        </w:tabs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Obecnou kritiku kontrastivních přístupů formuluje následovně Michael </w:t>
      </w:r>
      <w:proofErr w:type="spellStart"/>
      <w:r w:rsidRPr="00D216E2">
        <w:rPr>
          <w:rFonts w:ascii="Times New Roman" w:eastAsia="SimSun" w:hAnsi="Times New Roman" w:cs="Times New Roman"/>
          <w:sz w:val="24"/>
          <w:szCs w:val="24"/>
        </w:rPr>
        <w:t>Puett</w:t>
      </w:r>
      <w:proofErr w:type="spellEnd"/>
      <w:r w:rsidR="009A6090" w:rsidRPr="00D216E2">
        <w:rPr>
          <w:rFonts w:ascii="Times New Roman" w:hAnsi="Times New Roman" w:cs="Times New Roman"/>
          <w:sz w:val="24"/>
          <w:szCs w:val="24"/>
        </w:rPr>
        <w:t xml:space="preserve"> (2002, </w:t>
      </w:r>
      <w:r w:rsidR="000700DC">
        <w:rPr>
          <w:rFonts w:ascii="Times New Roman" w:hAnsi="Times New Roman" w:cs="Times New Roman"/>
          <w:sz w:val="24"/>
          <w:szCs w:val="24"/>
        </w:rPr>
        <w:t xml:space="preserve">s. </w:t>
      </w:r>
      <w:r w:rsidR="009A6090" w:rsidRPr="00D216E2">
        <w:rPr>
          <w:rFonts w:ascii="Times New Roman" w:hAnsi="Times New Roman" w:cs="Times New Roman"/>
          <w:sz w:val="24"/>
          <w:szCs w:val="24"/>
        </w:rPr>
        <w:t>23)</w:t>
      </w:r>
      <w:r w:rsidRPr="00D216E2">
        <w:rPr>
          <w:rFonts w:ascii="Times New Roman" w:eastAsia="SimSun" w:hAnsi="Times New Roman" w:cs="Times New Roman"/>
          <w:sz w:val="24"/>
          <w:szCs w:val="24"/>
        </w:rPr>
        <w:t>:</w:t>
      </w:r>
    </w:p>
    <w:p w14:paraId="582501E9" w14:textId="77777777" w:rsidR="006D276C" w:rsidRPr="00A01705" w:rsidRDefault="006D276C" w:rsidP="000700DC">
      <w:pPr>
        <w:ind w:left="426" w:right="567"/>
        <w:jc w:val="both"/>
        <w:rPr>
          <w:rFonts w:ascii="Times New Roman" w:hAnsi="Times New Roman" w:cs="Times New Roman"/>
          <w:sz w:val="20"/>
          <w:szCs w:val="20"/>
        </w:rPr>
      </w:pPr>
      <w:r w:rsidRPr="00A01705">
        <w:rPr>
          <w:rFonts w:ascii="Times New Roman" w:eastAsia="SimSun" w:hAnsi="Times New Roman" w:cs="Times New Roman"/>
          <w:sz w:val="20"/>
          <w:szCs w:val="20"/>
        </w:rPr>
        <w:t>Vytváření takových kontrastivních přístupů vyžaduje vytrhnout určité texty z kontextu a číst je jako předpoklady sdílené celými kulturami, které jsou srovnávány. [...] Rekonstrukce tohoto kontextu nám [naopak] umožňuje podat historický výklad toho, proč byly určité výroky vysloveny, a rekonstruovat provokativní sílu, kterou tyto výroky měly ve své době. Redukovat je na pouhé příklady obecně čínského způsobu myšlení nám znemožňuje zachytit kulturní sílu, již tyto výroky měly.</w:t>
      </w:r>
    </w:p>
    <w:p w14:paraId="582501EA" w14:textId="77777777" w:rsidR="00AE01D5" w:rsidRPr="00D216E2" w:rsidRDefault="00AE01D5" w:rsidP="000700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501EB" w14:textId="77777777" w:rsidR="00535614" w:rsidRPr="00D216E2" w:rsidRDefault="00535614" w:rsidP="000700DC">
      <w:pPr>
        <w:jc w:val="both"/>
        <w:rPr>
          <w:rFonts w:ascii="Times New Roma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sz w:val="24"/>
          <w:szCs w:val="24"/>
        </w:rPr>
        <w:t>Citace z cizojazyčné literatury vždy překládáme!</w:t>
      </w:r>
    </w:p>
    <w:p w14:paraId="582501EC" w14:textId="77777777" w:rsidR="007F3884" w:rsidRPr="00D216E2" w:rsidRDefault="007F3884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501ED" w14:textId="77777777" w:rsidR="00AE407E" w:rsidRDefault="00AE407E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501EE" w14:textId="77777777" w:rsidR="007F3884" w:rsidRPr="00D216E2" w:rsidRDefault="00D57044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6E2">
        <w:rPr>
          <w:rFonts w:ascii="Times New Roman" w:hAnsi="Times New Roman" w:cs="Times New Roman"/>
          <w:b/>
          <w:sz w:val="24"/>
          <w:szCs w:val="24"/>
        </w:rPr>
        <w:lastRenderedPageBreak/>
        <w:t>Odkazy na zdroje uvedené v závorce v textu je třeba do textu „zakomponovat“</w:t>
      </w:r>
      <w:r w:rsidR="007F3884" w:rsidRPr="00D216E2">
        <w:rPr>
          <w:rFonts w:ascii="Times New Roman" w:hAnsi="Times New Roman" w:cs="Times New Roman"/>
          <w:b/>
          <w:sz w:val="24"/>
          <w:szCs w:val="24"/>
        </w:rPr>
        <w:t>:</w:t>
      </w:r>
    </w:p>
    <w:p w14:paraId="582501EF" w14:textId="77777777" w:rsidR="007F3884" w:rsidRPr="00D216E2" w:rsidRDefault="007F3884" w:rsidP="000700DC">
      <w:pPr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D216E2">
        <w:rPr>
          <w:rFonts w:ascii="Times New Roman" w:eastAsia="SimSun" w:hAnsi="Times New Roman" w:cs="Times New Roman"/>
          <w:sz w:val="24"/>
          <w:szCs w:val="24"/>
          <w:u w:val="single"/>
        </w:rPr>
        <w:t>Příklad:</w:t>
      </w:r>
    </w:p>
    <w:p w14:paraId="582501F0" w14:textId="77777777" w:rsidR="00AE01D5" w:rsidRPr="00D216E2" w:rsidRDefault="003F3E16" w:rsidP="0007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Podle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Dentonova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1996, </w:t>
      </w:r>
      <w:r w:rsidR="003D07B4"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Pr="00D216E2">
        <w:rPr>
          <w:rFonts w:ascii="Times New Roman" w:eastAsia="SimSun" w:hAnsi="Times New Roman" w:cs="Times New Roman"/>
          <w:sz w:val="24"/>
          <w:szCs w:val="24"/>
        </w:rPr>
        <w:t>31</w:t>
      </w:r>
      <w:r w:rsidR="003D07B4">
        <w:rPr>
          <w:rFonts w:ascii="Times New Roman" w:hAnsi="Times New Roman" w:cs="Times New Roman"/>
          <w:sz w:val="24"/>
          <w:szCs w:val="24"/>
        </w:rPr>
        <w:t>-</w:t>
      </w:r>
      <w:r w:rsidRPr="00D216E2">
        <w:rPr>
          <w:rFonts w:ascii="Times New Roman" w:eastAsia="SimSun" w:hAnsi="Times New Roman" w:cs="Times New Roman"/>
          <w:sz w:val="24"/>
          <w:szCs w:val="24"/>
        </w:rPr>
        <w:t>36)</w:t>
      </w:r>
      <w:r>
        <w:rPr>
          <w:rFonts w:ascii="Times New Roman" w:eastAsia="SimSun" w:hAnsi="Times New Roman" w:cs="Times New Roman"/>
          <w:sz w:val="24"/>
          <w:szCs w:val="24"/>
        </w:rPr>
        <w:t xml:space="preserve"> výkladu r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>ozlišení mezi „reprezentací“ a „ztělesněním“ odráží zásadní rozdíl mezi chápáním lit</w:t>
      </w:r>
      <w:r>
        <w:rPr>
          <w:rFonts w:ascii="Times New Roman" w:hAnsi="Times New Roman" w:cs="Times New Roman"/>
          <w:sz w:val="24"/>
          <w:szCs w:val="24"/>
        </w:rPr>
        <w:t>eratury na Západě a v Číně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. Západní mimetická tradice se vyznačuje orientací na text jako produkt tvůrčí intence autora a reprezentaci vnější nebo vnitřní skutečnosti. Tyto oblasti jsou chápány jako navzájem izolované a pozornost je tudíž upřena na text jako prostředkující médium, které „zachycuje svět skrze jazyk“ (Anderson 1990, </w:t>
      </w:r>
      <w:r w:rsidR="003D07B4"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>37). Do popředí se dostává jazykový (znakový) charakter literatury a problematika reference. Naproti tomu tradiční čínský pohled na literární text vychází z předpokladu „bezešvého spojení“ (</w:t>
      </w:r>
      <w:proofErr w:type="spellStart"/>
      <w:r w:rsidR="00AE01D5" w:rsidRPr="00D216E2">
        <w:rPr>
          <w:rFonts w:ascii="Times New Roman" w:eastAsia="SimSun" w:hAnsi="Times New Roman" w:cs="Times New Roman"/>
          <w:sz w:val="24"/>
          <w:szCs w:val="24"/>
        </w:rPr>
        <w:t>Yu</w:t>
      </w:r>
      <w:proofErr w:type="spellEnd"/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 1987, </w:t>
      </w:r>
      <w:r w:rsidR="003D07B4"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33) mezi autorem, čtenářem, textem a světem. Podle </w:t>
      </w:r>
      <w:proofErr w:type="spellStart"/>
      <w:r w:rsidR="00AE01D5" w:rsidRPr="00D216E2">
        <w:rPr>
          <w:rFonts w:ascii="Times New Roman" w:eastAsia="SimSun" w:hAnsi="Times New Roman" w:cs="Times New Roman"/>
          <w:sz w:val="24"/>
          <w:szCs w:val="24"/>
        </w:rPr>
        <w:t>Yu</w:t>
      </w:r>
      <w:proofErr w:type="spellEnd"/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 je báseň „literární reakcí básníka na svět kolem něj, jehož je integrální součástí. Neexistují</w:t>
      </w:r>
      <w:r w:rsidR="00FF275D" w:rsidRPr="00D216E2">
        <w:rPr>
          <w:rFonts w:ascii="Times New Roman" w:hAnsi="Times New Roman" w:cs="Times New Roman"/>
          <w:sz w:val="24"/>
          <w:szCs w:val="24"/>
        </w:rPr>
        <w:t xml:space="preserve"> žádné nespojitosti mezi sdílenou tradicí, osobností autora, </w:t>
      </w:r>
      <w:r w:rsidR="003D07B4">
        <w:rPr>
          <w:rFonts w:ascii="Times New Roman" w:eastAsia="SimSun" w:hAnsi="Times New Roman" w:cs="Times New Roman"/>
          <w:sz w:val="24"/>
          <w:szCs w:val="24"/>
        </w:rPr>
        <w:t xml:space="preserve">realitou a literárním dílem (...) 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>“ (</w:t>
      </w:r>
      <w:r w:rsidR="003D07B4"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35). Tvůrčímu aktu autora předchází mimoliterární (a mimojazyková) souvislost všech těchto oblastí, která je založena v celku kultury, a zároveň na principech, jež zakládají svět (bytí) jako celek, a které je proto možné chápat jako ontologické principy. Do popředí se dostává osobnost autora a její </w:t>
      </w:r>
      <w:proofErr w:type="spellStart"/>
      <w:r w:rsidR="00AE01D5" w:rsidRPr="00D216E2">
        <w:rPr>
          <w:rFonts w:ascii="Times New Roman" w:eastAsia="SimSun" w:hAnsi="Times New Roman" w:cs="Times New Roman"/>
          <w:sz w:val="24"/>
          <w:szCs w:val="24"/>
        </w:rPr>
        <w:t>sebekultivace</w:t>
      </w:r>
      <w:proofErr w:type="spellEnd"/>
      <w:r w:rsidR="00AE01D5" w:rsidRPr="00D216E2">
        <w:rPr>
          <w:rFonts w:ascii="Times New Roman" w:eastAsia="SimSun" w:hAnsi="Times New Roman" w:cs="Times New Roman"/>
          <w:sz w:val="24"/>
          <w:szCs w:val="24"/>
        </w:rPr>
        <w:t>, jíž s</w:t>
      </w:r>
      <w:r w:rsidR="00FF275D" w:rsidRPr="00D216E2">
        <w:rPr>
          <w:rFonts w:ascii="Times New Roman" w:hAnsi="Times New Roman" w:cs="Times New Roman"/>
          <w:sz w:val="24"/>
          <w:szCs w:val="24"/>
        </w:rPr>
        <w:t>e tato osobnost stává součástí r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eality, čímž je uschopněna k literární tvorbě. Tento tradiční přístup k literatuře zůstává podle </w:t>
      </w:r>
      <w:proofErr w:type="spellStart"/>
      <w:r w:rsidR="00AE01D5" w:rsidRPr="00D216E2">
        <w:rPr>
          <w:rFonts w:ascii="Times New Roman" w:eastAsia="SimSun" w:hAnsi="Times New Roman" w:cs="Times New Roman"/>
          <w:sz w:val="24"/>
          <w:szCs w:val="24"/>
        </w:rPr>
        <w:t>Dentona</w:t>
      </w:r>
      <w:proofErr w:type="spellEnd"/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 v platnosti i v myšlení teoretiků Májového hnutí: „</w:t>
      </w:r>
      <w:r w:rsidR="003D07B4">
        <w:rPr>
          <w:rFonts w:ascii="Times New Roman" w:eastAsia="SimSun" w:hAnsi="Times New Roman" w:cs="Times New Roman"/>
          <w:sz w:val="24"/>
          <w:szCs w:val="24"/>
        </w:rPr>
        <w:t xml:space="preserve"> (...)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 velká část moderního čínského myšlení je motivována touhou obnovit ‘bezešvé spojení’ me</w:t>
      </w:r>
      <w:r w:rsidR="003D07B4">
        <w:rPr>
          <w:rFonts w:ascii="Times New Roman" w:eastAsia="SimSun" w:hAnsi="Times New Roman" w:cs="Times New Roman"/>
          <w:sz w:val="24"/>
          <w:szCs w:val="24"/>
        </w:rPr>
        <w:t xml:space="preserve">zi individuem, textem a světem (...) 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>“ (</w:t>
      </w:r>
      <w:proofErr w:type="spellStart"/>
      <w:r w:rsidR="00FF275D" w:rsidRPr="00D216E2">
        <w:rPr>
          <w:rFonts w:ascii="Times New Roman" w:eastAsia="SimSun" w:hAnsi="Times New Roman" w:cs="Times New Roman"/>
          <w:sz w:val="24"/>
          <w:szCs w:val="24"/>
        </w:rPr>
        <w:t>Denton</w:t>
      </w:r>
      <w:proofErr w:type="spellEnd"/>
      <w:r w:rsidR="00FF275D" w:rsidRPr="00D216E2">
        <w:rPr>
          <w:rFonts w:ascii="Times New Roman" w:eastAsia="SimSun" w:hAnsi="Times New Roman" w:cs="Times New Roman"/>
          <w:sz w:val="24"/>
          <w:szCs w:val="24"/>
        </w:rPr>
        <w:t xml:space="preserve"> 1996, </w:t>
      </w:r>
      <w:r w:rsidR="003D07B4"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33). </w:t>
      </w:r>
    </w:p>
    <w:p w14:paraId="582501F1" w14:textId="77777777" w:rsidR="006D276C" w:rsidRPr="00D216E2" w:rsidRDefault="006D276C" w:rsidP="000700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501F2" w14:textId="77777777"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501F3" w14:textId="77777777"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501F4" w14:textId="77777777"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501F5" w14:textId="77777777"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501F6" w14:textId="77777777"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501F7" w14:textId="77777777"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501F8" w14:textId="77777777"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501F9" w14:textId="77777777"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501FA" w14:textId="77777777"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501FB" w14:textId="77777777"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501FC" w14:textId="77777777"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501FD" w14:textId="77777777"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501FE" w14:textId="77777777" w:rsidR="006D276C" w:rsidRPr="00D216E2" w:rsidRDefault="006D276C" w:rsidP="000700DC">
      <w:pPr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D216E2">
        <w:rPr>
          <w:rFonts w:ascii="Times New Roman" w:hAnsi="Times New Roman" w:cs="Times New Roman"/>
          <w:b/>
          <w:sz w:val="24"/>
          <w:szCs w:val="24"/>
        </w:rPr>
        <w:lastRenderedPageBreak/>
        <w:t>Chybné odkazování:</w:t>
      </w:r>
    </w:p>
    <w:p w14:paraId="582501FF" w14:textId="77777777" w:rsidR="00D57044" w:rsidRPr="00D216E2" w:rsidRDefault="003E2FA6" w:rsidP="000700DC">
      <w:pPr>
        <w:jc w:val="both"/>
        <w:rPr>
          <w:rFonts w:ascii="Times New Roma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Období pěti dynastií a deseti království, jak je toto období někdy nazýváno, představovalo opět rozdělení říše na severní a jižní. Na severu se v relativně krátkých historických úsecích vystřídalo pět dynastií a na jihu deset království. Klasickou čínskou historiografií je toto období považováno za období temna. V tomto období však na mnoha místech docházelo ke značnému rozvoji umění, především krajinomalby, malby květin a ptáků. Ke konci dynastie Jižní Tang vznikla v hlavním městě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Nanjingu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Císařská malířská akademie. Za</w:t>
      </w:r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ložil ji císař </w:t>
      </w:r>
      <w:proofErr w:type="spellStart"/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proofErr w:type="spellEnd"/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Yu</w:t>
      </w:r>
      <w:proofErr w:type="spellEnd"/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(vládl 961</w:t>
      </w:r>
      <w:r w:rsidR="000700DC">
        <w:rPr>
          <w:rFonts w:ascii="Times New Roman" w:hAnsi="Times New Roman" w:cs="Times New Roman"/>
          <w:sz w:val="24"/>
          <w:szCs w:val="24"/>
        </w:rPr>
        <w:t>-</w:t>
      </w:r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975), který byl milovníkem umění, velkým mecenášem, sběratelem a velmi dobrým kaligrafem.  Ke spoustě obrazů, které prošly jeho sbírkami, připisoval názvy děl a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kolofony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svém originálním císařském stylu, tzv. „zlaté písmo ostré jako nůž“ (jin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cuodao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shu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který se potom stal předlohou nebo by se dalo říct předchůdcem pro kaligrafii pozdně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severosongského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císaře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Huizonga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pro jeho císařský styl „zlatého štíhlého písma“ (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Zádrapa</w:t>
      </w:r>
      <w:proofErr w:type="spellEnd"/>
      <w:r w:rsidR="00AE40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2009).</w:t>
      </w:r>
    </w:p>
    <w:p w14:paraId="58250200" w14:textId="77777777" w:rsidR="0016242C" w:rsidRPr="00D216E2" w:rsidRDefault="0016242C" w:rsidP="000700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50201" w14:textId="77777777" w:rsidR="003E2FA6" w:rsidRPr="00D216E2" w:rsidRDefault="003E2FA6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6E2">
        <w:rPr>
          <w:rFonts w:ascii="Times New Roman" w:hAnsi="Times New Roman" w:cs="Times New Roman"/>
          <w:b/>
          <w:sz w:val="24"/>
          <w:szCs w:val="24"/>
        </w:rPr>
        <w:t>Správně:</w:t>
      </w:r>
    </w:p>
    <w:p w14:paraId="58250202" w14:textId="77777777" w:rsidR="003E2FA6" w:rsidRPr="00D216E2" w:rsidRDefault="003E2FA6" w:rsidP="000700DC">
      <w:pPr>
        <w:jc w:val="both"/>
        <w:rPr>
          <w:rFonts w:ascii="Times New Roma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Období Pěti dynastií, jak je toto období někdy nazýváno, představovalo opět rozdělení říše na severní a jižní.</w:t>
      </w:r>
      <w:r w:rsidRPr="00D216E2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severu se v relativně krátkých historických úsecích vystřídalo pět dynastií a na jihu deset království. Klasickou čínskou historiografií je toto období považováno za období temna. V tomto období však na mnoha místech docházelo ke značnému rozvoji umění, především krajinomalby, malby květin a ptáků. Ke konci dynastie Jižní Tang vznikla v hlavním městě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Nanjingu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Císařská malířská akademie. Za</w:t>
      </w:r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ložil ji císař </w:t>
      </w:r>
      <w:proofErr w:type="spellStart"/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proofErr w:type="spellEnd"/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Yu</w:t>
      </w:r>
      <w:proofErr w:type="spellEnd"/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(vládl 961</w:t>
      </w:r>
      <w:r w:rsidR="00865CC8" w:rsidRPr="00D216E2">
        <w:rPr>
          <w:rFonts w:ascii="Times New Roman" w:hAnsi="Times New Roman" w:cs="Times New Roman"/>
          <w:sz w:val="24"/>
          <w:szCs w:val="24"/>
        </w:rPr>
        <w:t>–</w:t>
      </w:r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975), který byl milovníkem umění, velkým mecenášem, sběratelem a velmi dobrým kaligrafem.  Ke spoustě obrazů, které prošly jeho sbírkami, připisoval názvy děl a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kolofony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svém originálním císařském stylu, tzv. „zlaté písmo ostré jako nůž“ (</w:t>
      </w:r>
      <w:proofErr w:type="spellStart"/>
      <w:r w:rsidRPr="00D216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jincuodao</w:t>
      </w:r>
      <w:proofErr w:type="spellEnd"/>
      <w:r w:rsidRPr="00D216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216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shu</w:t>
      </w:r>
      <w:proofErr w:type="spellEnd"/>
      <w:r w:rsidR="00A400E1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Jak uvádí </w:t>
      </w:r>
      <w:proofErr w:type="spellStart"/>
      <w:r w:rsidR="00A400E1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Pejčochová</w:t>
      </w:r>
      <w:proofErr w:type="spellEnd"/>
      <w:r w:rsidR="00A400E1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A400E1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Pejčochová</w:t>
      </w:r>
      <w:proofErr w:type="spellEnd"/>
      <w:r w:rsidR="00A400E1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A400E1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Zádrapa</w:t>
      </w:r>
      <w:proofErr w:type="spellEnd"/>
      <w:r w:rsidR="00AE40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00E1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2009, 234), tento styl se později stal předlohou </w:t>
      </w:r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kaligrafii pozdně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severosongského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císaře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Huizonga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pro jeho císařský styl „zlatého štíhlého písma“.</w:t>
      </w:r>
    </w:p>
    <w:sectPr w:rsidR="003E2FA6" w:rsidRPr="00D216E2" w:rsidSect="000700DC">
      <w:pgSz w:w="11906" w:h="16838"/>
      <w:pgMar w:top="1276" w:right="1417" w:bottom="141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0205" w14:textId="77777777" w:rsidR="00364BEF" w:rsidRDefault="00364BEF" w:rsidP="003E2FA6">
      <w:pPr>
        <w:spacing w:after="0" w:line="240" w:lineRule="auto"/>
      </w:pPr>
      <w:r>
        <w:separator/>
      </w:r>
    </w:p>
  </w:endnote>
  <w:endnote w:type="continuationSeparator" w:id="0">
    <w:p w14:paraId="58250206" w14:textId="77777777" w:rsidR="00364BEF" w:rsidRDefault="00364BEF" w:rsidP="003E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0203" w14:textId="77777777" w:rsidR="00364BEF" w:rsidRDefault="00364BEF" w:rsidP="003E2FA6">
      <w:pPr>
        <w:spacing w:after="0" w:line="240" w:lineRule="auto"/>
      </w:pPr>
      <w:r>
        <w:separator/>
      </w:r>
    </w:p>
  </w:footnote>
  <w:footnote w:type="continuationSeparator" w:id="0">
    <w:p w14:paraId="58250204" w14:textId="77777777" w:rsidR="00364BEF" w:rsidRDefault="00364BEF" w:rsidP="003E2FA6">
      <w:pPr>
        <w:spacing w:after="0" w:line="240" w:lineRule="auto"/>
      </w:pPr>
      <w:r>
        <w:continuationSeparator/>
      </w:r>
    </w:p>
  </w:footnote>
  <w:footnote w:id="1">
    <w:p w14:paraId="58250207" w14:textId="77777777" w:rsidR="003E2FA6" w:rsidRPr="003E2FA6" w:rsidRDefault="003E2FA6">
      <w:pPr>
        <w:pStyle w:val="Textpoznpodarou"/>
        <w:rPr>
          <w:rFonts w:ascii="Times New Roman" w:hAnsi="Times New Roman" w:cs="Times New Roman"/>
        </w:rPr>
      </w:pPr>
      <w:r w:rsidRPr="003E2FA6">
        <w:rPr>
          <w:rStyle w:val="Znakapoznpodarou"/>
          <w:rFonts w:ascii="Times New Roman" w:hAnsi="Times New Roman" w:cs="Times New Roman"/>
        </w:rPr>
        <w:footnoteRef/>
      </w:r>
      <w:r w:rsidRPr="003E2FA6">
        <w:rPr>
          <w:rFonts w:ascii="Times New Roman" w:hAnsi="Times New Roman" w:cs="Times New Roman"/>
        </w:rPr>
        <w:t xml:space="preserve"> Informace o vývoji kaligrafie v období Pěti dynastií v tomto odstavci čerpám z: Twittchett</w:t>
      </w:r>
      <w:r w:rsidR="00AE407E">
        <w:rPr>
          <w:rFonts w:ascii="Times New Roman" w:hAnsi="Times New Roman" w:cs="Times New Roman"/>
        </w:rPr>
        <w:t>,</w:t>
      </w:r>
      <w:r w:rsidRPr="003E2FA6">
        <w:rPr>
          <w:rFonts w:ascii="Times New Roman" w:hAnsi="Times New Roman" w:cs="Times New Roman"/>
        </w:rPr>
        <w:t xml:space="preserve"> 1995, </w:t>
      </w:r>
      <w:r w:rsidR="000700DC">
        <w:rPr>
          <w:rFonts w:ascii="Times New Roman" w:hAnsi="Times New Roman" w:cs="Times New Roman"/>
        </w:rPr>
        <w:t>s. 345-</w:t>
      </w:r>
      <w:r w:rsidRPr="003E2FA6">
        <w:rPr>
          <w:rFonts w:ascii="Times New Roman" w:hAnsi="Times New Roman" w:cs="Times New Roman"/>
        </w:rPr>
        <w:t>358.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A4750"/>
    <w:multiLevelType w:val="hybridMultilevel"/>
    <w:tmpl w:val="F3A48FA2"/>
    <w:lvl w:ilvl="0" w:tplc="146E05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2102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44"/>
    <w:rsid w:val="000700DC"/>
    <w:rsid w:val="000A4E5E"/>
    <w:rsid w:val="000F7CB6"/>
    <w:rsid w:val="0016242C"/>
    <w:rsid w:val="00205611"/>
    <w:rsid w:val="00205FFB"/>
    <w:rsid w:val="002320DA"/>
    <w:rsid w:val="00327A2D"/>
    <w:rsid w:val="00364BEF"/>
    <w:rsid w:val="003D07B4"/>
    <w:rsid w:val="003D5314"/>
    <w:rsid w:val="003E2FA6"/>
    <w:rsid w:val="003F3E16"/>
    <w:rsid w:val="00412BB8"/>
    <w:rsid w:val="004F5B6F"/>
    <w:rsid w:val="00535614"/>
    <w:rsid w:val="006D276C"/>
    <w:rsid w:val="006E2E61"/>
    <w:rsid w:val="007C3F3A"/>
    <w:rsid w:val="007F3884"/>
    <w:rsid w:val="00865CC8"/>
    <w:rsid w:val="00953CCB"/>
    <w:rsid w:val="009A6090"/>
    <w:rsid w:val="009C6A88"/>
    <w:rsid w:val="00A01705"/>
    <w:rsid w:val="00A400E1"/>
    <w:rsid w:val="00A67816"/>
    <w:rsid w:val="00AE01D5"/>
    <w:rsid w:val="00AE407E"/>
    <w:rsid w:val="00AF32CB"/>
    <w:rsid w:val="00BA2078"/>
    <w:rsid w:val="00BF0563"/>
    <w:rsid w:val="00C82E20"/>
    <w:rsid w:val="00CF00B0"/>
    <w:rsid w:val="00D216E2"/>
    <w:rsid w:val="00D34C35"/>
    <w:rsid w:val="00D57044"/>
    <w:rsid w:val="00E9685C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01DC"/>
  <w15:docId w15:val="{1EEA5B8F-93D1-4C35-8658-51587BD5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sid w:val="003E2FA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E2F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2F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2FA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FA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2FA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2FA6"/>
    <w:rPr>
      <w:sz w:val="20"/>
      <w:szCs w:val="20"/>
    </w:rPr>
  </w:style>
  <w:style w:type="character" w:customStyle="1" w:styleId="ZkladntextCourierNew">
    <w:name w:val="Základní text + Courier New"/>
    <w:basedOn w:val="Standardnpsmoodstavce"/>
    <w:uiPriority w:val="99"/>
    <w:rsid w:val="00D216E2"/>
    <w:rPr>
      <w:rFonts w:ascii="Courier New" w:hAnsi="Courier New" w:cs="Courier New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E9C60-B241-4F71-A34D-AD2164D7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Jana Vávrová Mašková</cp:lastModifiedBy>
  <cp:revision>3</cp:revision>
  <cp:lastPrinted>2012-03-06T06:58:00Z</cp:lastPrinted>
  <dcterms:created xsi:type="dcterms:W3CDTF">2021-01-07T18:45:00Z</dcterms:created>
  <dcterms:modified xsi:type="dcterms:W3CDTF">2022-11-01T11:48:00Z</dcterms:modified>
</cp:coreProperties>
</file>