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E298" w14:textId="77777777" w:rsidR="00B91B5E" w:rsidRPr="00B91B5E" w:rsidRDefault="00432278" w:rsidP="00B91B5E">
      <w:pPr>
        <w:rPr>
          <w:b/>
          <w:bCs/>
        </w:rPr>
      </w:pPr>
      <w:r>
        <w:t>NARD50</w:t>
      </w:r>
      <w:r w:rsidR="00B91B5E">
        <w:t xml:space="preserve">: </w:t>
      </w:r>
      <w:r w:rsidR="00B91B5E" w:rsidRPr="00B91B5E">
        <w:rPr>
          <w:b/>
          <w:bCs/>
        </w:rPr>
        <w:t xml:space="preserve">Methodology of literary criticism </w:t>
      </w:r>
    </w:p>
    <w:p w14:paraId="1A5B2110" w14:textId="3271C8F7" w:rsidR="006C7F79" w:rsidRDefault="0094639C">
      <w:r>
        <w:t>Russian Formalism</w:t>
      </w:r>
    </w:p>
    <w:p w14:paraId="52376A4B" w14:textId="77777777" w:rsidR="0094639C" w:rsidRPr="00B82342" w:rsidRDefault="0094639C"/>
    <w:p w14:paraId="3510164A" w14:textId="6662C662" w:rsidR="00B82342" w:rsidRPr="00F113A6" w:rsidRDefault="00B91B5E">
      <w:pPr>
        <w:rPr>
          <w:u w:val="single"/>
        </w:rPr>
      </w:pPr>
      <w:r w:rsidRPr="00F113A6">
        <w:rPr>
          <w:u w:val="single"/>
        </w:rPr>
        <w:t>Description</w:t>
      </w:r>
      <w:r w:rsidR="00F113A6">
        <w:rPr>
          <w:u w:val="single"/>
        </w:rPr>
        <w:t>:</w:t>
      </w:r>
    </w:p>
    <w:p w14:paraId="4B0FB81A" w14:textId="5C639961" w:rsidR="00B91B5E" w:rsidRDefault="00B91B5E">
      <w:r>
        <w:t xml:space="preserve">This lecture/seminar focuses on Russian Formalism. It is designed to introduce </w:t>
      </w:r>
      <w:r>
        <w:t xml:space="preserve">to PhD students </w:t>
      </w:r>
      <w:r>
        <w:t xml:space="preserve">the concepts of this literary critical movement with a specific focus on how Formalism is presented, applied and received in the English-speaking academia and criticism. It will look at Russian Formalists through the eyes of its translators such as Michael Holquist, Caryl Emerson, and Benjamin Sher to see key differences in the Russian and English-speaking approaches to literature. A discussion of language and cultural dependence of theory will follow, with a specific view of Russian Formalism. Capitalizing on the views of those who are instrumental in introducing Russian Formalism to English-speaking readers, a lecture will provide an overview of key concepts </w:t>
      </w:r>
      <w:r w:rsidR="009A00B7">
        <w:t>of the critical school, thus presenting an introduction to “Russian Formalism for English speakers”. Lastly, a discussion will follow over several primary texts by prominent Russian Formalists in their English translations.</w:t>
      </w:r>
      <w:r w:rsidR="0094639C">
        <w:t xml:space="preserve"> The two authors in focus will be Viktor Shklovsky and Mikhail Bakhtin.</w:t>
      </w:r>
    </w:p>
    <w:p w14:paraId="4A936A20" w14:textId="77777777" w:rsidR="00B91B5E" w:rsidRPr="00B82342" w:rsidRDefault="00B91B5E"/>
    <w:p w14:paraId="4533E68E" w14:textId="77777777" w:rsidR="00B82342" w:rsidRPr="00B82342" w:rsidRDefault="00B82342"/>
    <w:p w14:paraId="7320AEF9" w14:textId="147FDE5E" w:rsidR="00B82342" w:rsidRPr="00F113A6" w:rsidRDefault="0094639C">
      <w:pPr>
        <w:rPr>
          <w:u w:val="single"/>
        </w:rPr>
      </w:pPr>
      <w:r w:rsidRPr="00F113A6">
        <w:rPr>
          <w:u w:val="single"/>
        </w:rPr>
        <w:t>Keywords:</w:t>
      </w:r>
    </w:p>
    <w:p w14:paraId="35785B26" w14:textId="112BDDA8" w:rsidR="00085788" w:rsidRDefault="009A00B7">
      <w:r>
        <w:t>Formalism / formal method</w:t>
      </w:r>
      <w:r w:rsidR="0094639C">
        <w:t xml:space="preserve">; </w:t>
      </w:r>
      <w:r>
        <w:t>OPOJAZ</w:t>
      </w:r>
      <w:r w:rsidR="0094639C">
        <w:t xml:space="preserve">; </w:t>
      </w:r>
      <w:r>
        <w:t>Defamiliarization (estrangement)</w:t>
      </w:r>
      <w:r w:rsidR="0094639C">
        <w:t xml:space="preserve">; </w:t>
      </w:r>
      <w:r>
        <w:t>Literariness</w:t>
      </w:r>
      <w:r w:rsidR="0094639C">
        <w:t xml:space="preserve">; </w:t>
      </w:r>
      <w:r>
        <w:t>Story/plot (fabula/syuzhet)</w:t>
      </w:r>
      <w:r w:rsidR="0094639C">
        <w:t xml:space="preserve">; </w:t>
      </w:r>
      <w:r w:rsidR="00085788">
        <w:t>Polyphony</w:t>
      </w:r>
      <w:r w:rsidR="0094639C">
        <w:t xml:space="preserve">; </w:t>
      </w:r>
      <w:r w:rsidR="00085788">
        <w:t>Heteroglossia</w:t>
      </w:r>
      <w:r w:rsidR="0094639C">
        <w:t xml:space="preserve">; </w:t>
      </w:r>
      <w:r w:rsidR="00085788">
        <w:t>Dialogism</w:t>
      </w:r>
      <w:r w:rsidR="0094639C">
        <w:t xml:space="preserve">; </w:t>
      </w:r>
      <w:r w:rsidR="00085788">
        <w:t>Carnivalesque</w:t>
      </w:r>
    </w:p>
    <w:p w14:paraId="7273073A" w14:textId="77777777" w:rsidR="00085788" w:rsidRDefault="00085788"/>
    <w:p w14:paraId="49AE471D" w14:textId="77777777" w:rsidR="00B82342" w:rsidRPr="00B82342" w:rsidRDefault="00B82342"/>
    <w:p w14:paraId="3DEAEF83" w14:textId="3463024B" w:rsidR="00B82342" w:rsidRPr="00F113A6" w:rsidRDefault="00DD1AFC">
      <w:pPr>
        <w:rPr>
          <w:u w:val="single"/>
        </w:rPr>
      </w:pPr>
      <w:r w:rsidRPr="00F113A6">
        <w:rPr>
          <w:u w:val="single"/>
        </w:rPr>
        <w:t>Literature</w:t>
      </w:r>
      <w:r w:rsidR="0094639C" w:rsidRPr="00F113A6">
        <w:rPr>
          <w:u w:val="single"/>
        </w:rPr>
        <w:t xml:space="preserve"> (entries marked with * will be closely discussed in class)</w:t>
      </w:r>
      <w:r w:rsidRPr="00F113A6">
        <w:rPr>
          <w:u w:val="single"/>
        </w:rPr>
        <w:t>:</w:t>
      </w:r>
    </w:p>
    <w:p w14:paraId="78F35578" w14:textId="5C7E2982" w:rsidR="00DD1AFC" w:rsidRPr="00F113A6" w:rsidRDefault="0094639C">
      <w:pPr>
        <w:rPr>
          <w:u w:val="single"/>
        </w:rPr>
      </w:pPr>
      <w:r w:rsidRPr="00F113A6">
        <w:rPr>
          <w:u w:val="single"/>
        </w:rPr>
        <w:t xml:space="preserve">I. </w:t>
      </w:r>
      <w:r w:rsidR="00DD1AFC" w:rsidRPr="00F113A6">
        <w:rPr>
          <w:u w:val="single"/>
        </w:rPr>
        <w:t>Overviews:</w:t>
      </w:r>
    </w:p>
    <w:p w14:paraId="2A22D77A" w14:textId="77777777" w:rsidR="00DD1AFC" w:rsidRPr="00B82342" w:rsidRDefault="00DD1AFC" w:rsidP="0094639C">
      <w:pPr>
        <w:ind w:left="709" w:hanging="709"/>
      </w:pPr>
      <w:r>
        <w:t>*</w:t>
      </w:r>
      <w:r w:rsidRPr="00B82342">
        <w:t>Emerson, Caryl</w:t>
      </w:r>
      <w:r>
        <w:t>.</w:t>
      </w:r>
      <w:r w:rsidRPr="00B82342">
        <w:t xml:space="preserve"> </w:t>
      </w:r>
      <w:r>
        <w:t>“</w:t>
      </w:r>
      <w:r w:rsidRPr="00B82342">
        <w:t>Critical Models, Committed Readers, and Three Russian Ideas</w:t>
      </w:r>
      <w:r>
        <w:t>.”</w:t>
      </w:r>
      <w:r w:rsidRPr="00B82342">
        <w:t xml:space="preserve"> </w:t>
      </w:r>
      <w:r>
        <w:t>I</w:t>
      </w:r>
      <w:r w:rsidRPr="00B82342">
        <w:t>n</w:t>
      </w:r>
      <w:r>
        <w:t>:</w:t>
      </w:r>
      <w:r w:rsidRPr="00B82342">
        <w:rPr>
          <w:i/>
        </w:rPr>
        <w:t xml:space="preserve"> The Cambridge Introduction to Russian Litetature</w:t>
      </w:r>
      <w:r w:rsidRPr="00B82342">
        <w:t xml:space="preserve"> </w:t>
      </w:r>
      <w:r>
        <w:t xml:space="preserve">(Cambridge: </w:t>
      </w:r>
      <w:r w:rsidRPr="00B82342">
        <w:t>C</w:t>
      </w:r>
      <w:r>
        <w:t xml:space="preserve">ambridge </w:t>
      </w:r>
      <w:r w:rsidRPr="00B82342">
        <w:t>U</w:t>
      </w:r>
      <w:r>
        <w:t xml:space="preserve">niversity </w:t>
      </w:r>
      <w:r w:rsidRPr="00B82342">
        <w:t>P</w:t>
      </w:r>
      <w:r>
        <w:t>ress,</w:t>
      </w:r>
      <w:r w:rsidRPr="00B82342">
        <w:t xml:space="preserve"> 2008</w:t>
      </w:r>
      <w:r>
        <w:t>):</w:t>
      </w:r>
      <w:r w:rsidRPr="00B82342">
        <w:t xml:space="preserve"> 11-33.</w:t>
      </w:r>
    </w:p>
    <w:p w14:paraId="15B138F7" w14:textId="4B63F9E3" w:rsidR="00FB4859" w:rsidRDefault="00FB4859" w:rsidP="0094639C">
      <w:pPr>
        <w:ind w:left="709" w:hanging="709"/>
      </w:pPr>
      <w:r w:rsidRPr="00FB4859">
        <w:t>Erlich, Victor.</w:t>
      </w:r>
      <w:r>
        <w:t xml:space="preserve"> </w:t>
      </w:r>
      <w:r>
        <w:rPr>
          <w:i/>
        </w:rPr>
        <w:t>Russian Formalism: History – Doctrine</w:t>
      </w:r>
      <w:r w:rsidRPr="00FB4859">
        <w:t xml:space="preserve"> </w:t>
      </w:r>
      <w:r>
        <w:t>(The Hague: De Gruyter Mouton,</w:t>
      </w:r>
      <w:r w:rsidRPr="00FB4859">
        <w:t xml:space="preserve"> 1980</w:t>
      </w:r>
      <w:r>
        <w:t>), eBook</w:t>
      </w:r>
      <w:r w:rsidRPr="00FB4859">
        <w:t xml:space="preserve"> (</w:t>
      </w:r>
      <w:r w:rsidRPr="00FB4859">
        <w:rPr>
          <w:i/>
        </w:rPr>
        <w:t>EBSCOhost</w:t>
      </w:r>
      <w:r w:rsidRPr="00FB4859">
        <w:t>)</w:t>
      </w:r>
      <w:r w:rsidR="0094639C">
        <w:t xml:space="preserve"> accessible here: </w:t>
      </w:r>
      <w:hyperlink r:id="rId7" w:history="1">
        <w:r w:rsidR="0094639C" w:rsidRPr="0069365C">
          <w:rPr>
            <w:rStyle w:val="Hypertextovodkaz"/>
          </w:rPr>
          <w:t>http://ezproxy.muni.cz/login?url=https://search.ebscohost.com/login.aspx?direct=true&amp;AuthType=ip,cookie,uid&amp;db=nlebk&amp;AN=559073&amp;lang=cs&amp;site=eds-live&amp;scope=site</w:t>
        </w:r>
      </w:hyperlink>
      <w:r w:rsidR="0094639C">
        <w:t xml:space="preserve">. </w:t>
      </w:r>
    </w:p>
    <w:p w14:paraId="18C8B5A6" w14:textId="66728151" w:rsidR="00D839D3" w:rsidRDefault="00D839D3" w:rsidP="0094639C">
      <w:pPr>
        <w:ind w:left="709" w:hanging="709"/>
      </w:pPr>
      <w:r>
        <w:t xml:space="preserve">Holquist, Michael. </w:t>
      </w:r>
      <w:r>
        <w:rPr>
          <w:i/>
        </w:rPr>
        <w:t>Dialogism: Bakhtin and His World</w:t>
      </w:r>
      <w:r w:rsidR="00DA1D2B">
        <w:t xml:space="preserve"> (London: Routledge, 2002</w:t>
      </w:r>
      <w:r>
        <w:t xml:space="preserve"> [1990]).</w:t>
      </w:r>
    </w:p>
    <w:p w14:paraId="0754AD31" w14:textId="2500C603" w:rsidR="00DD1AFC" w:rsidRPr="00FB4859" w:rsidRDefault="00FB4859" w:rsidP="0094639C">
      <w:pPr>
        <w:ind w:left="709" w:hanging="709"/>
      </w:pPr>
      <w:r>
        <w:t xml:space="preserve">Thompson, Ewa M. </w:t>
      </w:r>
      <w:r>
        <w:rPr>
          <w:i/>
          <w:iCs/>
        </w:rPr>
        <w:t>Russian Formalism and Anglo-American New Criticism : A Comparative Study</w:t>
      </w:r>
      <w:r>
        <w:t xml:space="preserve">. </w:t>
      </w:r>
      <w:r>
        <w:t xml:space="preserve">(The Hague: </w:t>
      </w:r>
      <w:r>
        <w:t>De Gruyter Mouton, 1971</w:t>
      </w:r>
      <w:r>
        <w:t>),</w:t>
      </w:r>
      <w:r>
        <w:t xml:space="preserve"> </w:t>
      </w:r>
      <w:r>
        <w:t>eBook (</w:t>
      </w:r>
      <w:r>
        <w:rPr>
          <w:i/>
          <w:iCs/>
        </w:rPr>
        <w:t>EBSCOhost</w:t>
      </w:r>
      <w:r>
        <w:rPr>
          <w:iCs/>
        </w:rPr>
        <w:t>)</w:t>
      </w:r>
      <w:r w:rsidR="0094639C">
        <w:rPr>
          <w:iCs/>
        </w:rPr>
        <w:t xml:space="preserve"> accessible here: </w:t>
      </w:r>
      <w:hyperlink r:id="rId8" w:history="1">
        <w:r w:rsidR="0094639C" w:rsidRPr="0069365C">
          <w:rPr>
            <w:rStyle w:val="Hypertextovodkaz"/>
            <w:iCs/>
          </w:rPr>
          <w:t>http://ezproxy.muni.cz/login?url=https://search.ebscohost.com/login.aspx?direct=true&amp;AuthType=ip,cookie,uid&amp;db=nleb</w:t>
        </w:r>
        <w:bookmarkStart w:id="0" w:name="_GoBack"/>
        <w:bookmarkEnd w:id="0"/>
        <w:r w:rsidR="0094639C" w:rsidRPr="0069365C">
          <w:rPr>
            <w:rStyle w:val="Hypertextovodkaz"/>
            <w:iCs/>
          </w:rPr>
          <w:t>k&amp;AN=560895&amp;lang=cs&amp;site=eds-live&amp;scope=site</w:t>
        </w:r>
      </w:hyperlink>
      <w:r>
        <w:rPr>
          <w:iCs/>
        </w:rPr>
        <w:t>.</w:t>
      </w:r>
      <w:r w:rsidR="0094639C">
        <w:rPr>
          <w:iCs/>
        </w:rPr>
        <w:t xml:space="preserve"> (</w:t>
      </w:r>
      <w:r w:rsidR="00DD1AFC">
        <w:rPr>
          <w:iCs/>
        </w:rPr>
        <w:t>For an overview, see especially Ch. I “Marking the Boundaries: Russian Formalism” (pp. 11–33); for further reading, see Ch. II “The Development of Principal Concepts” (pp. 55–110)</w:t>
      </w:r>
      <w:r w:rsidR="0094639C">
        <w:rPr>
          <w:iCs/>
        </w:rPr>
        <w:t>).</w:t>
      </w:r>
    </w:p>
    <w:p w14:paraId="5684EA0C" w14:textId="77777777" w:rsidR="00DD1AFC" w:rsidRDefault="00DD1AFC" w:rsidP="0094639C">
      <w:pPr>
        <w:ind w:left="709" w:hanging="709"/>
      </w:pPr>
      <w:r>
        <w:t xml:space="preserve">Steiner, Peter. </w:t>
      </w:r>
      <w:r>
        <w:rPr>
          <w:i/>
        </w:rPr>
        <w:t>Russian Formalism: A Metapoetics</w:t>
      </w:r>
      <w:r>
        <w:t xml:space="preserve"> (Ithaca: Cornell University Press, 1984).</w:t>
      </w:r>
    </w:p>
    <w:p w14:paraId="44139F82" w14:textId="77777777" w:rsidR="00DD1AFC" w:rsidRDefault="00DD1AFC" w:rsidP="0094639C">
      <w:pPr>
        <w:ind w:left="709" w:hanging="709"/>
      </w:pPr>
      <w:r>
        <w:lastRenderedPageBreak/>
        <w:t xml:space="preserve">Wellek, René. “13: Russian Formalism,” and </w:t>
      </w:r>
      <w:r>
        <w:t xml:space="preserve">“15: Mikhail Bakhtin.” </w:t>
      </w:r>
      <w:r>
        <w:t xml:space="preserve">In: </w:t>
      </w:r>
      <w:r>
        <w:rPr>
          <w:i/>
        </w:rPr>
        <w:t>A History of Modern Criticism: 1750–1950. Vol. 7: German, Russian, and Eastern European Criticism: 1900–1950</w:t>
      </w:r>
      <w:r>
        <w:t xml:space="preserve"> (New Haven: Yale University Press, 1991): 318–47 and 354–71.</w:t>
      </w:r>
    </w:p>
    <w:p w14:paraId="3FDB0D34" w14:textId="77777777" w:rsidR="00FB4859" w:rsidRDefault="00FB4859"/>
    <w:p w14:paraId="51964899" w14:textId="173C3F9C" w:rsidR="00DD1AFC" w:rsidRPr="00F113A6" w:rsidRDefault="0094639C">
      <w:pPr>
        <w:rPr>
          <w:u w:val="single"/>
        </w:rPr>
      </w:pPr>
      <w:r w:rsidRPr="00F113A6">
        <w:rPr>
          <w:u w:val="single"/>
        </w:rPr>
        <w:t xml:space="preserve">II. </w:t>
      </w:r>
      <w:r w:rsidR="00D73FCE" w:rsidRPr="00F113A6">
        <w:rPr>
          <w:u w:val="single"/>
        </w:rPr>
        <w:t xml:space="preserve">Other </w:t>
      </w:r>
      <w:r w:rsidR="00DD1AFC" w:rsidRPr="00F113A6">
        <w:rPr>
          <w:u w:val="single"/>
        </w:rPr>
        <w:t>Readings:</w:t>
      </w:r>
    </w:p>
    <w:p w14:paraId="0D6C0514" w14:textId="77777777" w:rsidR="00D73FCE" w:rsidRPr="00D73FCE" w:rsidRDefault="00D73FCE" w:rsidP="0094639C">
      <w:pPr>
        <w:ind w:left="709" w:hanging="709"/>
      </w:pPr>
      <w:r>
        <w:t xml:space="preserve">*Bakhtin, Mikhail. “From the Prehistory of Novelistic Discourse.” In: </w:t>
      </w:r>
      <w:r>
        <w:rPr>
          <w:i/>
        </w:rPr>
        <w:t>The Dialogic Imagination: Four Essays</w:t>
      </w:r>
      <w:r>
        <w:t>, translated by M. Holquist (Austin: University of Texas Press, 1981): 41–83.</w:t>
      </w:r>
    </w:p>
    <w:p w14:paraId="040B8E89" w14:textId="77777777" w:rsidR="00D73FCE" w:rsidRPr="00D73FCE" w:rsidRDefault="00D73FCE" w:rsidP="0094639C">
      <w:pPr>
        <w:ind w:left="709" w:hanging="709"/>
      </w:pPr>
      <w:r>
        <w:t xml:space="preserve">*Booth, Wayne C. “Introduction.” In: </w:t>
      </w:r>
      <w:r>
        <w:rPr>
          <w:i/>
        </w:rPr>
        <w:t>Problems of Dostoyevsky’s Poetics</w:t>
      </w:r>
      <w:r>
        <w:t xml:space="preserve"> by Mikhail Bakhtin, translated and edited by Caryl Emerson (Minneapolis: University of Minnesota Press, 1984): xiii–xxviii.</w:t>
      </w:r>
    </w:p>
    <w:p w14:paraId="4A67CF12" w14:textId="77777777" w:rsidR="00B82342" w:rsidRDefault="00DD1AFC" w:rsidP="0094639C">
      <w:pPr>
        <w:ind w:left="709" w:hanging="709"/>
      </w:pPr>
      <w:r>
        <w:t>*</w:t>
      </w:r>
      <w:r w:rsidR="00B82342" w:rsidRPr="00B82342">
        <w:t xml:space="preserve">Sher, </w:t>
      </w:r>
      <w:r w:rsidR="00FB4859" w:rsidRPr="00B82342">
        <w:t>Benjami</w:t>
      </w:r>
      <w:r w:rsidR="00FB4859">
        <w:t>n</w:t>
      </w:r>
      <w:r w:rsidR="00FB4859">
        <w:t>.</w:t>
      </w:r>
      <w:r w:rsidR="00FB4859" w:rsidRPr="00B82342">
        <w:t xml:space="preserve"> </w:t>
      </w:r>
      <w:r w:rsidR="00B82342">
        <w:t>“</w:t>
      </w:r>
      <w:r w:rsidR="00B82342" w:rsidRPr="00B82342">
        <w:t xml:space="preserve">Skhlovsky and </w:t>
      </w:r>
      <w:r w:rsidR="00B82342">
        <w:t>the Revolution</w:t>
      </w:r>
      <w:r w:rsidR="00FB4859">
        <w:t>.</w:t>
      </w:r>
      <w:r w:rsidR="00B82342">
        <w:t xml:space="preserve">” </w:t>
      </w:r>
      <w:r w:rsidR="00FB4859">
        <w:t>I</w:t>
      </w:r>
      <w:r w:rsidR="00B82342">
        <w:t>n</w:t>
      </w:r>
      <w:r w:rsidR="00FB4859">
        <w:t>:</w:t>
      </w:r>
      <w:r w:rsidR="00B82342">
        <w:t xml:space="preserve"> </w:t>
      </w:r>
      <w:r w:rsidR="00FB4859">
        <w:rPr>
          <w:i/>
        </w:rPr>
        <w:t xml:space="preserve">Theory of Prose </w:t>
      </w:r>
      <w:r w:rsidR="00FB4859">
        <w:t>by Victor Shklovsky</w:t>
      </w:r>
      <w:r w:rsidR="00D73FCE">
        <w:t>, translated by B. Sher</w:t>
      </w:r>
      <w:r w:rsidR="00FB4859">
        <w:t xml:space="preserve"> (Champaign &amp; London: Dalkey Archive Press, 1991): </w:t>
      </w:r>
      <w:r w:rsidR="00B82342">
        <w:t>xv</w:t>
      </w:r>
      <w:r w:rsidR="00B82342">
        <w:softHyphen/>
        <w:t>–xxi.</w:t>
      </w:r>
    </w:p>
    <w:p w14:paraId="0B7FD350" w14:textId="77777777" w:rsidR="00B82342" w:rsidRDefault="00DD1AFC" w:rsidP="0094639C">
      <w:pPr>
        <w:ind w:left="709" w:hanging="709"/>
      </w:pPr>
      <w:r>
        <w:t>*</w:t>
      </w:r>
      <w:r w:rsidR="00FB4859">
        <w:t xml:space="preserve">Shklovsky, </w:t>
      </w:r>
      <w:r w:rsidR="00B82342">
        <w:t>Vi</w:t>
      </w:r>
      <w:r w:rsidR="00FB4859">
        <w:t xml:space="preserve">ktor. “Art as Device.” In: </w:t>
      </w:r>
      <w:r w:rsidR="00FB4859">
        <w:rPr>
          <w:i/>
        </w:rPr>
        <w:t>Theory of Prose</w:t>
      </w:r>
      <w:r w:rsidR="00D73FCE">
        <w:t>, translated by B. Sher</w:t>
      </w:r>
      <w:r w:rsidR="00FB4859">
        <w:rPr>
          <w:i/>
        </w:rPr>
        <w:t xml:space="preserve"> </w:t>
      </w:r>
      <w:r w:rsidR="00FB4859">
        <w:t>(Champaign &amp; London: Dalkey Archive Press, 1991):</w:t>
      </w:r>
      <w:r w:rsidR="00FB4859">
        <w:t xml:space="preserve"> 1–14.</w:t>
      </w:r>
    </w:p>
    <w:p w14:paraId="41DA5B82" w14:textId="77777777" w:rsidR="00D73FCE" w:rsidRDefault="00D73FCE" w:rsidP="00B82342"/>
    <w:p w14:paraId="70F573F3" w14:textId="77777777" w:rsidR="00FB4859" w:rsidRPr="00B82342" w:rsidRDefault="00FB4859" w:rsidP="00B82342"/>
    <w:sectPr w:rsidR="00FB4859" w:rsidRPr="00B82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42"/>
    <w:rsid w:val="00085788"/>
    <w:rsid w:val="00244059"/>
    <w:rsid w:val="00432278"/>
    <w:rsid w:val="00476BC4"/>
    <w:rsid w:val="006C7F79"/>
    <w:rsid w:val="007F4C72"/>
    <w:rsid w:val="0094639C"/>
    <w:rsid w:val="00962B39"/>
    <w:rsid w:val="009A00B7"/>
    <w:rsid w:val="00B82342"/>
    <w:rsid w:val="00B91B5E"/>
    <w:rsid w:val="00D73FCE"/>
    <w:rsid w:val="00D839D3"/>
    <w:rsid w:val="00DA1D2B"/>
    <w:rsid w:val="00DC63EC"/>
    <w:rsid w:val="00DD1AFC"/>
    <w:rsid w:val="00F113A6"/>
    <w:rsid w:val="00FB48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BDD9"/>
  <w15:chartTrackingRefBased/>
  <w15:docId w15:val="{0DB64B96-0A1A-4871-AC20-57B9D722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paragraph" w:styleId="Nadpis3">
    <w:name w:val="heading 3"/>
    <w:basedOn w:val="Normln"/>
    <w:next w:val="Normln"/>
    <w:link w:val="Nadpis3Char"/>
    <w:uiPriority w:val="9"/>
    <w:semiHidden/>
    <w:unhideWhenUsed/>
    <w:qFormat/>
    <w:rsid w:val="00B91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autoRedefine/>
    <w:uiPriority w:val="99"/>
    <w:semiHidden/>
    <w:unhideWhenUsed/>
    <w:rsid w:val="007F4C72"/>
    <w:pPr>
      <w:spacing w:after="0" w:line="240" w:lineRule="auto"/>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semiHidden/>
    <w:rsid w:val="007F4C72"/>
    <w:rPr>
      <w:rFonts w:ascii="Times New Roman" w:hAnsi="Times New Roman"/>
      <w:sz w:val="20"/>
      <w:szCs w:val="20"/>
      <w:lang w:val="en-US"/>
    </w:rPr>
  </w:style>
  <w:style w:type="character" w:customStyle="1" w:styleId="Nadpis3Char">
    <w:name w:val="Nadpis 3 Char"/>
    <w:basedOn w:val="Standardnpsmoodstavce"/>
    <w:link w:val="Nadpis3"/>
    <w:uiPriority w:val="9"/>
    <w:semiHidden/>
    <w:rsid w:val="00B91B5E"/>
    <w:rPr>
      <w:rFonts w:asciiTheme="majorHAnsi" w:eastAsiaTheme="majorEastAsia" w:hAnsiTheme="majorHAnsi" w:cstheme="majorBidi"/>
      <w:color w:val="1F4D78" w:themeColor="accent1" w:themeShade="7F"/>
      <w:sz w:val="24"/>
      <w:szCs w:val="24"/>
      <w:lang w:val="en-US"/>
    </w:rPr>
  </w:style>
  <w:style w:type="character" w:styleId="Hypertextovodkaz">
    <w:name w:val="Hyperlink"/>
    <w:basedOn w:val="Standardnpsmoodstavce"/>
    <w:uiPriority w:val="99"/>
    <w:unhideWhenUsed/>
    <w:rsid w:val="00946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71418">
      <w:bodyDiv w:val="1"/>
      <w:marLeft w:val="0"/>
      <w:marRight w:val="0"/>
      <w:marTop w:val="0"/>
      <w:marBottom w:val="0"/>
      <w:divBdr>
        <w:top w:val="none" w:sz="0" w:space="0" w:color="auto"/>
        <w:left w:val="none" w:sz="0" w:space="0" w:color="auto"/>
        <w:bottom w:val="none" w:sz="0" w:space="0" w:color="auto"/>
        <w:right w:val="none" w:sz="0" w:space="0" w:color="auto"/>
      </w:divBdr>
    </w:div>
    <w:div w:id="10144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muni.cz/login?url=https://search.ebscohost.com/login.aspx?direct=true&amp;AuthType=ip,cookie,uid&amp;db=nlebk&amp;AN=560895&amp;lang=cs&amp;site=eds-live&amp;scope=site" TargetMode="External"/><Relationship Id="rId3" Type="http://schemas.openxmlformats.org/officeDocument/2006/relationships/customXml" Target="../customXml/item3.xml"/><Relationship Id="rId7" Type="http://schemas.openxmlformats.org/officeDocument/2006/relationships/hyperlink" Target="http://ezproxy.muni.cz/login?url=https://search.ebscohost.com/login.aspx?direct=true&amp;AuthType=ip,cookie,uid&amp;db=nlebk&amp;AN=559073&amp;lang=cs&amp;site=eds-live&amp;scope=si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D2589EBA42D144BDFDF1E8AF596C46" ma:contentTypeVersion="11" ma:contentTypeDescription="Vytvoří nový dokument" ma:contentTypeScope="" ma:versionID="c56532bdf532946d8a85e6ae844bde79">
  <xsd:schema xmlns:xsd="http://www.w3.org/2001/XMLSchema" xmlns:xs="http://www.w3.org/2001/XMLSchema" xmlns:p="http://schemas.microsoft.com/office/2006/metadata/properties" xmlns:ns3="57069d5b-28c5-4f7f-97bc-e52de622a7f7" xmlns:ns4="c0341062-30f8-4e80-ad54-4c529bb7785e" targetNamespace="http://schemas.microsoft.com/office/2006/metadata/properties" ma:root="true" ma:fieldsID="527e2bdeb0d1130ebf18b792932c4cf7" ns3:_="" ns4:_="">
    <xsd:import namespace="57069d5b-28c5-4f7f-97bc-e52de622a7f7"/>
    <xsd:import namespace="c0341062-30f8-4e80-ad54-4c529bb778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69d5b-28c5-4f7f-97bc-e52de622a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41062-30f8-4e80-ad54-4c529bb7785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E8F36-7196-40ED-A47D-A323A3A0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69d5b-28c5-4f7f-97bc-e52de622a7f7"/>
    <ds:schemaRef ds:uri="c0341062-30f8-4e80-ad54-4c529bb77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B1994-9E1A-4412-8025-0E793E483663}">
  <ds:schemaRefs>
    <ds:schemaRef ds:uri="http://schemas.microsoft.com/sharepoint/v3/contenttype/forms"/>
  </ds:schemaRefs>
</ds:datastoreItem>
</file>

<file path=customXml/itemProps3.xml><?xml version="1.0" encoding="utf-8"?>
<ds:datastoreItem xmlns:ds="http://schemas.openxmlformats.org/officeDocument/2006/customXml" ds:itemID="{01D85330-B1F9-43A9-9B0E-09D38005A845}">
  <ds:schemaRefs>
    <ds:schemaRef ds:uri="http://purl.org/dc/elements/1.1/"/>
    <ds:schemaRef ds:uri="http://schemas.microsoft.com/office/2006/metadata/properties"/>
    <ds:schemaRef ds:uri="57069d5b-28c5-4f7f-97bc-e52de622a7f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341062-30f8-4e80-ad54-4c529bb7785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Kačer</dc:creator>
  <cp:keywords/>
  <dc:description/>
  <cp:lastModifiedBy>Tomáš Kačer</cp:lastModifiedBy>
  <cp:revision>6</cp:revision>
  <dcterms:created xsi:type="dcterms:W3CDTF">2019-09-09T07:36:00Z</dcterms:created>
  <dcterms:modified xsi:type="dcterms:W3CDTF">2019-09-09T09:57:00Z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0x01010058D2589EBA42D144BDFDF1E8AF596C46</vt:lpwstr>
  </property>
</Properties>
</file>