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7D78B" w14:textId="77777777" w:rsidR="00845B18" w:rsidRDefault="00845B18">
      <w:pPr>
        <w:spacing w:line="14" w:lineRule="exact"/>
      </w:pPr>
    </w:p>
    <w:p w14:paraId="1FC4F206" w14:textId="77777777" w:rsidR="00845B18" w:rsidRDefault="00000000">
      <w:pPr>
        <w:pStyle w:val="Zhlavnebozpat0"/>
        <w:framePr w:wrap="none" w:vAnchor="page" w:hAnchor="page" w:x="3738" w:y="178"/>
        <w:shd w:val="clear" w:color="auto" w:fill="auto"/>
      </w:pPr>
      <w:r>
        <w:t>[13]</w:t>
      </w:r>
    </w:p>
    <w:p w14:paraId="618593D7" w14:textId="77777777" w:rsidR="00845B18" w:rsidRDefault="00000000">
      <w:pPr>
        <w:pStyle w:val="Zkladntext1"/>
        <w:framePr w:w="6979" w:h="1670" w:hRule="exact" w:wrap="none" w:vAnchor="page" w:hAnchor="page" w:x="426" w:y="691"/>
        <w:shd w:val="clear" w:color="auto" w:fill="auto"/>
        <w:spacing w:after="480" w:line="240" w:lineRule="auto"/>
        <w:jc w:val="center"/>
      </w:pPr>
      <w:r>
        <w:t>KAPITOLA 1</w:t>
      </w:r>
    </w:p>
    <w:p w14:paraId="5C8579C4" w14:textId="77777777" w:rsidR="00845B18" w:rsidRDefault="00000000">
      <w:pPr>
        <w:pStyle w:val="Nadpis10"/>
        <w:framePr w:w="6979" w:h="1670" w:hRule="exact" w:wrap="none" w:vAnchor="page" w:hAnchor="page" w:x="426" w:y="691"/>
        <w:shd w:val="clear" w:color="auto" w:fill="auto"/>
        <w:spacing w:after="0" w:line="319" w:lineRule="auto"/>
        <w:rPr>
          <w:sz w:val="32"/>
          <w:szCs w:val="32"/>
        </w:rPr>
      </w:pPr>
      <w:bookmarkStart w:id="0" w:name="bookmark0"/>
      <w:r>
        <w:rPr>
          <w:rFonts w:ascii="Georgia" w:eastAsia="Georgia" w:hAnsi="Georgia" w:cs="Georgia"/>
          <w:sz w:val="32"/>
          <w:szCs w:val="32"/>
        </w:rPr>
        <w:t>Knižní trh v globální perspektivě</w:t>
      </w:r>
      <w:r>
        <w:rPr>
          <w:rFonts w:ascii="Georgia" w:eastAsia="Georgia" w:hAnsi="Georgia" w:cs="Georgia"/>
          <w:sz w:val="32"/>
          <w:szCs w:val="32"/>
        </w:rPr>
        <w:br/>
        <w:t>(svět, Evropa, sousedé)</w:t>
      </w:r>
      <w:bookmarkEnd w:id="0"/>
    </w:p>
    <w:p w14:paraId="079D4C2B" w14:textId="77777777" w:rsidR="00845B18" w:rsidRDefault="00000000">
      <w:pPr>
        <w:pStyle w:val="Zkladntext20"/>
        <w:framePr w:w="6979" w:h="1051" w:hRule="exact" w:wrap="none" w:vAnchor="page" w:hAnchor="page" w:x="426" w:y="4205"/>
        <w:shd w:val="clear" w:color="auto" w:fill="auto"/>
        <w:spacing w:after="0" w:line="293" w:lineRule="auto"/>
        <w:rPr>
          <w:sz w:val="18"/>
          <w:szCs w:val="18"/>
        </w:rPr>
      </w:pPr>
      <w:r>
        <w:rPr>
          <w:sz w:val="18"/>
          <w:szCs w:val="18"/>
        </w:rPr>
        <w:t>V této kapitole se pokusíme poskytnout — jakkoli obrysově — přehled o současném sta</w:t>
      </w:r>
      <w:r>
        <w:rPr>
          <w:sz w:val="18"/>
          <w:szCs w:val="18"/>
        </w:rPr>
        <w:softHyphen/>
        <w:t>vu knižního trhu za hranicemi České republiky. Čerpat budeme především z dat Mezi</w:t>
      </w:r>
      <w:r>
        <w:rPr>
          <w:sz w:val="18"/>
          <w:szCs w:val="18"/>
        </w:rPr>
        <w:softHyphen/>
        <w:t xml:space="preserve">národní asociace nakladatelů (International </w:t>
      </w:r>
      <w:proofErr w:type="spellStart"/>
      <w:r>
        <w:rPr>
          <w:sz w:val="18"/>
          <w:szCs w:val="18"/>
        </w:rPr>
        <w:t>Publishers</w:t>
      </w:r>
      <w:proofErr w:type="spellEnd"/>
      <w:r>
        <w:rPr>
          <w:sz w:val="18"/>
          <w:szCs w:val="18"/>
        </w:rPr>
        <w:t xml:space="preserve"> </w:t>
      </w:r>
      <w:r>
        <w:rPr>
          <w:sz w:val="18"/>
          <w:szCs w:val="18"/>
          <w:lang w:val="fr-FR" w:eastAsia="fr-FR" w:bidi="fr-FR"/>
        </w:rPr>
        <w:t xml:space="preserve">Association, </w:t>
      </w:r>
      <w:r>
        <w:rPr>
          <w:sz w:val="18"/>
          <w:szCs w:val="18"/>
        </w:rPr>
        <w:t>IPA); dojde však i na zdroje jiné.</w:t>
      </w:r>
      <w:r>
        <w:rPr>
          <w:sz w:val="18"/>
          <w:szCs w:val="18"/>
          <w:vertAlign w:val="superscript"/>
        </w:rPr>
        <w:t>1</w:t>
      </w:r>
      <w:r>
        <w:rPr>
          <w:sz w:val="18"/>
          <w:szCs w:val="18"/>
        </w:rPr>
        <w:t>)</w:t>
      </w:r>
    </w:p>
    <w:p w14:paraId="387FB9AE" w14:textId="77777777" w:rsidR="00845B18" w:rsidRDefault="00000000">
      <w:pPr>
        <w:pStyle w:val="Zkladntext20"/>
        <w:framePr w:w="6979" w:h="1296" w:hRule="exact" w:wrap="none" w:vAnchor="page" w:hAnchor="page" w:x="426" w:y="5938"/>
        <w:shd w:val="clear" w:color="auto" w:fill="auto"/>
        <w:spacing w:after="0" w:line="305" w:lineRule="auto"/>
        <w:rPr>
          <w:sz w:val="18"/>
          <w:szCs w:val="18"/>
        </w:rPr>
      </w:pPr>
      <w:r>
        <w:rPr>
          <w:sz w:val="18"/>
          <w:szCs w:val="18"/>
        </w:rPr>
        <w:t>Stále platí, že drtivá většina knižního trhu je situována do Evropy a Severní Ameriky. Týká se to jak počtu vydaných titulů, tak obratu. Pokud jde o obrat, asi čtvrtina v sou</w:t>
      </w:r>
      <w:r>
        <w:rPr>
          <w:sz w:val="18"/>
          <w:szCs w:val="18"/>
        </w:rPr>
        <w:softHyphen/>
        <w:t xml:space="preserve">časnosti připadá na Evropu, asi třetina na Severní Ameriku. Třetí silnou oblastí, ovšem </w:t>
      </w:r>
      <w:r>
        <w:rPr>
          <w:rFonts w:ascii="Arial" w:eastAsia="Arial" w:hAnsi="Arial" w:cs="Arial"/>
          <w:sz w:val="13"/>
          <w:szCs w:val="13"/>
        </w:rPr>
        <w:t xml:space="preserve">s </w:t>
      </w:r>
      <w:r>
        <w:rPr>
          <w:sz w:val="18"/>
          <w:szCs w:val="18"/>
        </w:rPr>
        <w:t>výraznou dynamikou růstu, je Asie (18 procent), čímž se myslí víceméně Japonsko, Jižní Korea a Čína. Jde o jedinou oblast, jež v posledních zhruba sedmi letech posílila.</w:t>
      </w:r>
    </w:p>
    <w:p w14:paraId="17031A8F" w14:textId="77777777" w:rsidR="00845B18" w:rsidRDefault="00000000">
      <w:pPr>
        <w:pStyle w:val="Poznmkapodarou0"/>
        <w:framePr w:w="6902" w:h="4248" w:hRule="exact" w:wrap="none" w:vAnchor="page" w:hAnchor="page" w:x="503" w:y="7464"/>
        <w:shd w:val="clear" w:color="auto" w:fill="auto"/>
        <w:ind w:left="280" w:hanging="280"/>
        <w:rPr>
          <w:sz w:val="14"/>
          <w:szCs w:val="14"/>
        </w:rPr>
      </w:pPr>
      <w:r>
        <w:t xml:space="preserve">1) V části o knižním trhu na světě čerpáme z těchto zdrojů: </w:t>
      </w:r>
      <w:proofErr w:type="spellStart"/>
      <w:r>
        <w:rPr>
          <w:smallCaps/>
        </w:rPr>
        <w:t>Altbacu</w:t>
      </w:r>
      <w:proofErr w:type="spellEnd"/>
      <w:r>
        <w:rPr>
          <w:smallCaps/>
        </w:rPr>
        <w:t>,</w:t>
      </w:r>
      <w:r>
        <w:t xml:space="preserve"> Philip G. — </w:t>
      </w:r>
      <w:proofErr w:type="spellStart"/>
      <w:r>
        <w:rPr>
          <w:smallCaps/>
        </w:rPr>
        <w:t>Hoshino</w:t>
      </w:r>
      <w:proofErr w:type="spellEnd"/>
      <w:r>
        <w:rPr>
          <w:smallCaps/>
        </w:rPr>
        <w:t>,</w:t>
      </w:r>
      <w:r>
        <w:t xml:space="preserve"> </w:t>
      </w:r>
      <w:r>
        <w:rPr>
          <w:lang w:val="fr-FR" w:eastAsia="fr-FR" w:bidi="fr-FR"/>
        </w:rPr>
        <w:t xml:space="preserve">Edith </w:t>
      </w:r>
      <w:r>
        <w:t>S. (</w:t>
      </w:r>
      <w:proofErr w:type="spellStart"/>
      <w:r>
        <w:t>eds</w:t>
      </w:r>
      <w:proofErr w:type="spellEnd"/>
      <w:r>
        <w:t xml:space="preserve">.). </w:t>
      </w:r>
      <w:r>
        <w:rPr>
          <w:i/>
          <w:iCs/>
        </w:rPr>
        <w:t xml:space="preserve">International </w:t>
      </w:r>
      <w:proofErr w:type="spellStart"/>
      <w:r>
        <w:rPr>
          <w:i/>
          <w:iCs/>
        </w:rPr>
        <w:t>Book</w:t>
      </w:r>
      <w:proofErr w:type="spellEnd"/>
      <w:r>
        <w:rPr>
          <w:i/>
          <w:iCs/>
        </w:rPr>
        <w:t xml:space="preserve"> Publishing. </w:t>
      </w:r>
      <w:r>
        <w:rPr>
          <w:i/>
          <w:iCs/>
          <w:lang w:val="fr-FR" w:eastAsia="fr-FR" w:bidi="fr-FR"/>
        </w:rPr>
        <w:t xml:space="preserve">An </w:t>
      </w:r>
      <w:proofErr w:type="spellStart"/>
      <w:r>
        <w:rPr>
          <w:i/>
          <w:iCs/>
        </w:rPr>
        <w:t>Encyclopedia</w:t>
      </w:r>
      <w:proofErr w:type="spellEnd"/>
      <w:r>
        <w:rPr>
          <w:i/>
          <w:iCs/>
        </w:rPr>
        <w:t>,</w:t>
      </w:r>
      <w:r>
        <w:t xml:space="preserve"> London — </w:t>
      </w:r>
      <w:proofErr w:type="gramStart"/>
      <w:r>
        <w:t>Chicago:</w:t>
      </w:r>
      <w:proofErr w:type="gramEnd"/>
      <w:r>
        <w:t xml:space="preserve"> </w:t>
      </w:r>
      <w:proofErr w:type="spellStart"/>
      <w:r>
        <w:t>Fitzroy</w:t>
      </w:r>
      <w:proofErr w:type="spellEnd"/>
      <w:r>
        <w:t xml:space="preserve"> </w:t>
      </w:r>
      <w:proofErr w:type="spellStart"/>
      <w:r>
        <w:t>Dearborn</w:t>
      </w:r>
      <w:proofErr w:type="spellEnd"/>
      <w:r>
        <w:t xml:space="preserve"> </w:t>
      </w:r>
      <w:proofErr w:type="spellStart"/>
      <w:r>
        <w:t>Publishers</w:t>
      </w:r>
      <w:proofErr w:type="spellEnd"/>
      <w:r>
        <w:t xml:space="preserve">, 1995; „A </w:t>
      </w:r>
      <w:proofErr w:type="spellStart"/>
      <w:r>
        <w:t>Methodology</w:t>
      </w:r>
      <w:proofErr w:type="spellEnd"/>
      <w:r>
        <w:t xml:space="preserve"> to </w:t>
      </w:r>
      <w:proofErr w:type="spellStart"/>
      <w:r>
        <w:t>Collect</w:t>
      </w:r>
      <w:proofErr w:type="spellEnd"/>
      <w:r>
        <w:t xml:space="preserve"> International </w:t>
      </w:r>
      <w:proofErr w:type="spellStart"/>
      <w:r>
        <w:t>Book</w:t>
      </w:r>
      <w:proofErr w:type="spellEnd"/>
      <w:r>
        <w:t xml:space="preserve"> </w:t>
      </w:r>
      <w:proofErr w:type="spellStart"/>
      <w:r>
        <w:t>Statistics</w:t>
      </w:r>
      <w:proofErr w:type="spellEnd"/>
      <w:r>
        <w:t xml:space="preserve">“, on-line: </w:t>
      </w:r>
      <w:hyperlink r:id="rId7" w:history="1">
        <w:r>
          <w:rPr>
            <w:lang w:val="en-US" w:eastAsia="en-US" w:bidi="en-US"/>
          </w:rPr>
          <w:t>http://unesdoc.unesco.org/</w:t>
        </w:r>
      </w:hyperlink>
      <w:r>
        <w:rPr>
          <w:lang w:val="en-US" w:eastAsia="en-US" w:bidi="en-US"/>
        </w:rPr>
        <w:t xml:space="preserve"> </w:t>
      </w:r>
      <w:proofErr w:type="spellStart"/>
      <w:r>
        <w:t>images</w:t>
      </w:r>
      <w:proofErr w:type="spellEnd"/>
      <w:r>
        <w:t xml:space="preserve">/0018/001824/182475e.pdf [přístup 2013-12-06]; </w:t>
      </w:r>
      <w:proofErr w:type="spellStart"/>
      <w:r>
        <w:rPr>
          <w:smallCaps/>
        </w:rPr>
        <w:t>Darnton</w:t>
      </w:r>
      <w:proofErr w:type="spellEnd"/>
      <w:r>
        <w:rPr>
          <w:smallCaps/>
        </w:rPr>
        <w:t>,</w:t>
      </w:r>
      <w:r>
        <w:t xml:space="preserve"> Robert. </w:t>
      </w:r>
      <w:proofErr w:type="spellStart"/>
      <w:r>
        <w:rPr>
          <w:i/>
          <w:iCs/>
        </w:rPr>
        <w:t>The</w:t>
      </w:r>
      <w:proofErr w:type="spellEnd"/>
      <w:r>
        <w:rPr>
          <w:i/>
          <w:iCs/>
        </w:rPr>
        <w:t xml:space="preserve"> </w:t>
      </w:r>
      <w:proofErr w:type="spellStart"/>
      <w:r>
        <w:rPr>
          <w:i/>
          <w:iCs/>
        </w:rPr>
        <w:t>CaseforBooks</w:t>
      </w:r>
      <w:proofErr w:type="spellEnd"/>
      <w:r>
        <w:rPr>
          <w:i/>
          <w:iCs/>
        </w:rPr>
        <w:t xml:space="preserve">. Past, </w:t>
      </w:r>
      <w:r>
        <w:rPr>
          <w:i/>
          <w:iCs/>
          <w:lang w:val="fr-FR" w:eastAsia="fr-FR" w:bidi="fr-FR"/>
        </w:rPr>
        <w:t>Pré</w:t>
      </w:r>
      <w:r>
        <w:rPr>
          <w:i/>
          <w:iCs/>
          <w:lang w:val="fr-FR" w:eastAsia="fr-FR" w:bidi="fr-FR"/>
        </w:rPr>
        <w:softHyphen/>
        <w:t xml:space="preserve">sent, </w:t>
      </w:r>
      <w:r>
        <w:rPr>
          <w:i/>
          <w:iCs/>
        </w:rPr>
        <w:t xml:space="preserve">and </w:t>
      </w:r>
      <w:r>
        <w:rPr>
          <w:i/>
          <w:iCs/>
          <w:lang w:val="fr-FR" w:eastAsia="fr-FR" w:bidi="fr-FR"/>
        </w:rPr>
        <w:t>Future,</w:t>
      </w:r>
      <w:r>
        <w:rPr>
          <w:lang w:val="fr-FR" w:eastAsia="fr-FR" w:bidi="fr-FR"/>
        </w:rPr>
        <w:t xml:space="preserve"> </w:t>
      </w:r>
      <w:r>
        <w:t xml:space="preserve">New York: BBS Public </w:t>
      </w:r>
      <w:r>
        <w:rPr>
          <w:lang w:val="fr-FR" w:eastAsia="fr-FR" w:bidi="fr-FR"/>
        </w:rPr>
        <w:t xml:space="preserve">Affaire, </w:t>
      </w:r>
      <w:r>
        <w:t>2009; „</w:t>
      </w:r>
      <w:proofErr w:type="spellStart"/>
      <w:r>
        <w:t>Drawing</w:t>
      </w:r>
      <w:proofErr w:type="spellEnd"/>
      <w:r>
        <w:t xml:space="preserve"> </w:t>
      </w:r>
      <w:proofErr w:type="spellStart"/>
      <w:r>
        <w:t>the</w:t>
      </w:r>
      <w:proofErr w:type="spellEnd"/>
      <w:r>
        <w:t xml:space="preserve"> </w:t>
      </w:r>
      <w:r>
        <w:rPr>
          <w:lang w:val="fr-FR" w:eastAsia="fr-FR" w:bidi="fr-FR"/>
        </w:rPr>
        <w:t xml:space="preserve">global </w:t>
      </w:r>
      <w:r>
        <w:t xml:space="preserve">map </w:t>
      </w:r>
      <w:proofErr w:type="spellStart"/>
      <w:r>
        <w:t>ofPubhshing</w:t>
      </w:r>
      <w:proofErr w:type="spellEnd"/>
      <w:r>
        <w:t xml:space="preserve"> </w:t>
      </w:r>
      <w:proofErr w:type="spellStart"/>
      <w:r>
        <w:rPr>
          <w:lang w:val="fr-FR" w:eastAsia="fr-FR" w:bidi="fr-FR"/>
        </w:rPr>
        <w:t>Markets</w:t>
      </w:r>
      <w:proofErr w:type="spellEnd"/>
      <w:r>
        <w:rPr>
          <w:lang w:val="fr-FR" w:eastAsia="fr-FR" w:bidi="fr-FR"/>
        </w:rPr>
        <w:t xml:space="preserve"> </w:t>
      </w:r>
      <w:r>
        <w:t xml:space="preserve">2012“, on-line: </w:t>
      </w:r>
      <w:hyperlink r:id="rId8" w:history="1">
        <w:r>
          <w:rPr>
            <w:lang w:val="en-US" w:eastAsia="en-US" w:bidi="en-US"/>
          </w:rPr>
          <w:t>http://www.internationalpublishers.org/images/stories/PR/2012/global_statistics.pdf</w:t>
        </w:r>
      </w:hyperlink>
      <w:r>
        <w:rPr>
          <w:lang w:val="en-US" w:eastAsia="en-US" w:bidi="en-US"/>
        </w:rPr>
        <w:t xml:space="preserve"> </w:t>
      </w:r>
      <w:r>
        <w:t xml:space="preserve">[přístup 2013-12-06]; </w:t>
      </w:r>
      <w:r>
        <w:rPr>
          <w:smallCaps/>
          <w:lang w:val="fr-FR" w:eastAsia="fr-FR" w:bidi="fr-FR"/>
        </w:rPr>
        <w:t>Eliot,</w:t>
      </w:r>
      <w:r>
        <w:rPr>
          <w:lang w:val="fr-FR" w:eastAsia="fr-FR" w:bidi="fr-FR"/>
        </w:rPr>
        <w:t xml:space="preserve"> </w:t>
      </w:r>
      <w:r>
        <w:t xml:space="preserve">Simon — </w:t>
      </w:r>
      <w:r>
        <w:rPr>
          <w:smallCaps/>
        </w:rPr>
        <w:t>Rose,</w:t>
      </w:r>
      <w:r>
        <w:t xml:space="preserve"> </w:t>
      </w:r>
      <w:r>
        <w:rPr>
          <w:lang w:val="fr-FR" w:eastAsia="fr-FR" w:bidi="fr-FR"/>
        </w:rPr>
        <w:t xml:space="preserve">Jonathan </w:t>
      </w:r>
      <w:r>
        <w:t>(</w:t>
      </w:r>
      <w:proofErr w:type="spellStart"/>
      <w:r>
        <w:t>eds</w:t>
      </w:r>
      <w:proofErr w:type="spellEnd"/>
      <w:r>
        <w:t xml:space="preserve">.). </w:t>
      </w:r>
      <w:r>
        <w:rPr>
          <w:i/>
          <w:iCs/>
        </w:rPr>
        <w:t xml:space="preserve">A </w:t>
      </w:r>
      <w:proofErr w:type="spellStart"/>
      <w:r>
        <w:rPr>
          <w:i/>
          <w:iCs/>
        </w:rPr>
        <w:t>Companion</w:t>
      </w:r>
      <w:proofErr w:type="spellEnd"/>
      <w:r>
        <w:rPr>
          <w:i/>
          <w:iCs/>
        </w:rPr>
        <w:t xml:space="preserve"> to </w:t>
      </w:r>
      <w:proofErr w:type="spellStart"/>
      <w:r>
        <w:rPr>
          <w:i/>
          <w:iCs/>
        </w:rPr>
        <w:t>the</w:t>
      </w:r>
      <w:proofErr w:type="spellEnd"/>
      <w:r>
        <w:rPr>
          <w:i/>
          <w:iCs/>
        </w:rPr>
        <w:t xml:space="preserve"> </w:t>
      </w:r>
      <w:proofErr w:type="spellStart"/>
      <w:r>
        <w:rPr>
          <w:i/>
          <w:iCs/>
        </w:rPr>
        <w:t>History</w:t>
      </w:r>
      <w:proofErr w:type="spellEnd"/>
      <w:r>
        <w:rPr>
          <w:i/>
          <w:iCs/>
        </w:rPr>
        <w:t xml:space="preserve"> </w:t>
      </w:r>
      <w:proofErr w:type="spellStart"/>
      <w:r>
        <w:rPr>
          <w:i/>
          <w:iCs/>
        </w:rPr>
        <w:t>of</w:t>
      </w:r>
      <w:proofErr w:type="spellEnd"/>
      <w:r>
        <w:rPr>
          <w:i/>
          <w:iCs/>
        </w:rPr>
        <w:t xml:space="preserve"> </w:t>
      </w:r>
      <w:proofErr w:type="spellStart"/>
      <w:r>
        <w:rPr>
          <w:i/>
          <w:iCs/>
        </w:rPr>
        <w:t>the</w:t>
      </w:r>
      <w:proofErr w:type="spellEnd"/>
      <w:r>
        <w:rPr>
          <w:i/>
          <w:iCs/>
        </w:rPr>
        <w:t xml:space="preserve"> </w:t>
      </w:r>
      <w:proofErr w:type="spellStart"/>
      <w:r>
        <w:rPr>
          <w:i/>
          <w:iCs/>
        </w:rPr>
        <w:t>Book</w:t>
      </w:r>
      <w:proofErr w:type="spellEnd"/>
      <w:r>
        <w:rPr>
          <w:i/>
          <w:iCs/>
        </w:rPr>
        <w:t>,</w:t>
      </w:r>
      <w:r>
        <w:t xml:space="preserve"> </w:t>
      </w:r>
      <w:proofErr w:type="spellStart"/>
      <w:r>
        <w:t>Chichester</w:t>
      </w:r>
      <w:proofErr w:type="spellEnd"/>
      <w:r>
        <w:t xml:space="preserve">: </w:t>
      </w:r>
      <w:proofErr w:type="spellStart"/>
      <w:r>
        <w:rPr>
          <w:lang w:val="fr-FR" w:eastAsia="fr-FR" w:bidi="fr-FR"/>
        </w:rPr>
        <w:t>Wiley</w:t>
      </w:r>
      <w:proofErr w:type="spellEnd"/>
      <w:r>
        <w:rPr>
          <w:lang w:val="fr-FR" w:eastAsia="fr-FR" w:bidi="fr-FR"/>
        </w:rPr>
        <w:t xml:space="preserve"> </w:t>
      </w:r>
      <w:r>
        <w:t xml:space="preserve">— </w:t>
      </w:r>
      <w:r>
        <w:rPr>
          <w:lang w:val="fr-FR" w:eastAsia="fr-FR" w:bidi="fr-FR"/>
        </w:rPr>
        <w:t xml:space="preserve">Blackwell, </w:t>
      </w:r>
      <w:r>
        <w:t xml:space="preserve">2009; </w:t>
      </w:r>
      <w:proofErr w:type="spellStart"/>
      <w:r>
        <w:rPr>
          <w:smallCaps/>
        </w:rPr>
        <w:t>Epstein</w:t>
      </w:r>
      <w:proofErr w:type="spellEnd"/>
      <w:r>
        <w:rPr>
          <w:smallCaps/>
        </w:rPr>
        <w:t>,</w:t>
      </w:r>
      <w:r>
        <w:t xml:space="preserve"> Jason. </w:t>
      </w:r>
      <w:proofErr w:type="spellStart"/>
      <w:r>
        <w:rPr>
          <w:i/>
          <w:iCs/>
        </w:rPr>
        <w:t>Book</w:t>
      </w:r>
      <w:proofErr w:type="spellEnd"/>
      <w:r>
        <w:rPr>
          <w:i/>
          <w:iCs/>
        </w:rPr>
        <w:t xml:space="preserve"> Business. Publishing Past </w:t>
      </w:r>
      <w:r>
        <w:rPr>
          <w:i/>
          <w:iCs/>
          <w:lang w:val="fr-FR" w:eastAsia="fr-FR" w:bidi="fr-FR"/>
        </w:rPr>
        <w:t xml:space="preserve">Présent </w:t>
      </w:r>
      <w:r>
        <w:rPr>
          <w:i/>
          <w:iCs/>
        </w:rPr>
        <w:t xml:space="preserve">and </w:t>
      </w:r>
      <w:r>
        <w:rPr>
          <w:i/>
          <w:iCs/>
          <w:lang w:val="fr-FR" w:eastAsia="fr-FR" w:bidi="fr-FR"/>
        </w:rPr>
        <w:t>Future,</w:t>
      </w:r>
      <w:r>
        <w:rPr>
          <w:lang w:val="fr-FR" w:eastAsia="fr-FR" w:bidi="fr-FR"/>
        </w:rPr>
        <w:t xml:space="preserve"> </w:t>
      </w:r>
      <w:r>
        <w:t xml:space="preserve">New York — London: </w:t>
      </w:r>
      <w:proofErr w:type="spellStart"/>
      <w:r>
        <w:t>Norton</w:t>
      </w:r>
      <w:proofErr w:type="spellEnd"/>
      <w:r>
        <w:t xml:space="preserve">, 2002; </w:t>
      </w:r>
      <w:proofErr w:type="spellStart"/>
      <w:r>
        <w:rPr>
          <w:smallCaps/>
        </w:rPr>
        <w:t>Feather</w:t>
      </w:r>
      <w:proofErr w:type="spellEnd"/>
      <w:r>
        <w:rPr>
          <w:smallCaps/>
        </w:rPr>
        <w:t>,</w:t>
      </w:r>
      <w:r>
        <w:t xml:space="preserve"> John. </w:t>
      </w:r>
      <w:r>
        <w:rPr>
          <w:i/>
          <w:iCs/>
        </w:rPr>
        <w:t xml:space="preserve">A </w:t>
      </w:r>
      <w:proofErr w:type="spellStart"/>
      <w:r>
        <w:rPr>
          <w:i/>
          <w:iCs/>
        </w:rPr>
        <w:t>History</w:t>
      </w:r>
      <w:proofErr w:type="spellEnd"/>
      <w:r>
        <w:rPr>
          <w:i/>
          <w:iCs/>
        </w:rPr>
        <w:t xml:space="preserve"> </w:t>
      </w:r>
      <w:proofErr w:type="spellStart"/>
      <w:r>
        <w:rPr>
          <w:i/>
          <w:iCs/>
        </w:rPr>
        <w:t>ofBrtish</w:t>
      </w:r>
      <w:proofErr w:type="spellEnd"/>
      <w:r>
        <w:rPr>
          <w:i/>
          <w:iCs/>
        </w:rPr>
        <w:t xml:space="preserve"> Publishing,</w:t>
      </w:r>
      <w:r>
        <w:t xml:space="preserve"> London — </w:t>
      </w:r>
      <w:r>
        <w:rPr>
          <w:lang w:val="fr-FR" w:eastAsia="fr-FR" w:bidi="fr-FR"/>
        </w:rPr>
        <w:t xml:space="preserve">New York: Routledge, </w:t>
      </w:r>
      <w:r>
        <w:t xml:space="preserve">2006 [1988]; </w:t>
      </w:r>
      <w:proofErr w:type="spellStart"/>
      <w:r>
        <w:rPr>
          <w:smallCaps/>
          <w:lang w:val="fr-FR" w:eastAsia="fr-FR" w:bidi="fr-FR"/>
        </w:rPr>
        <w:t>Golçbiewski</w:t>
      </w:r>
      <w:proofErr w:type="spellEnd"/>
      <w:r>
        <w:rPr>
          <w:smallCaps/>
          <w:lang w:val="fr-FR" w:eastAsia="fr-FR" w:bidi="fr-FR"/>
        </w:rPr>
        <w:t>,</w:t>
      </w:r>
      <w:r>
        <w:rPr>
          <w:lang w:val="fr-FR" w:eastAsia="fr-FR" w:bidi="fr-FR"/>
        </w:rPr>
        <w:t xml:space="preserve"> </w:t>
      </w:r>
      <w:r>
        <w:t xml:space="preserve">Lukasz. </w:t>
      </w:r>
      <w:proofErr w:type="spellStart"/>
      <w:r>
        <w:rPr>
          <w:i/>
          <w:iCs/>
        </w:rPr>
        <w:t>Smierc</w:t>
      </w:r>
      <w:proofErr w:type="spellEnd"/>
      <w:r>
        <w:rPr>
          <w:i/>
          <w:iCs/>
        </w:rPr>
        <w:t xml:space="preserve"> </w:t>
      </w:r>
      <w:proofErr w:type="spellStart"/>
      <w:r>
        <w:rPr>
          <w:i/>
          <w:iCs/>
        </w:rPr>
        <w:t>ksiífžki</w:t>
      </w:r>
      <w:proofErr w:type="spellEnd"/>
      <w:r>
        <w:rPr>
          <w:i/>
          <w:iCs/>
        </w:rPr>
        <w:t xml:space="preserve">. No </w:t>
      </w:r>
      <w:r>
        <w:rPr>
          <w:i/>
          <w:iCs/>
          <w:lang w:val="fr-FR" w:eastAsia="fr-FR" w:bidi="fr-FR"/>
        </w:rPr>
        <w:t xml:space="preserve">Future </w:t>
      </w:r>
      <w:proofErr w:type="spellStart"/>
      <w:r>
        <w:rPr>
          <w:i/>
          <w:iCs/>
        </w:rPr>
        <w:t>Book</w:t>
      </w:r>
      <w:proofErr w:type="spellEnd"/>
      <w:r>
        <w:rPr>
          <w:i/>
          <w:iCs/>
        </w:rPr>
        <w:t>,</w:t>
      </w:r>
      <w:r>
        <w:t xml:space="preserve"> </w:t>
      </w:r>
      <w:proofErr w:type="spellStart"/>
      <w:r>
        <w:t>Warszawa</w:t>
      </w:r>
      <w:proofErr w:type="spellEnd"/>
      <w:r>
        <w:t xml:space="preserve">: Bibliotéka </w:t>
      </w:r>
      <w:proofErr w:type="spellStart"/>
      <w:r>
        <w:t>Analiz</w:t>
      </w:r>
      <w:proofErr w:type="spellEnd"/>
      <w:r>
        <w:t xml:space="preserve">, 2008; </w:t>
      </w:r>
      <w:r>
        <w:rPr>
          <w:smallCaps/>
          <w:lang w:val="es-ES" w:eastAsia="es-ES" w:bidi="es-ES"/>
        </w:rPr>
        <w:t>Greco,</w:t>
      </w:r>
      <w:r>
        <w:rPr>
          <w:lang w:val="es-ES" w:eastAsia="es-ES" w:bidi="es-ES"/>
        </w:rPr>
        <w:t xml:space="preserve"> </w:t>
      </w:r>
      <w:r>
        <w:t xml:space="preserve">Albert N. </w:t>
      </w:r>
      <w:proofErr w:type="spellStart"/>
      <w:r>
        <w:rPr>
          <w:i/>
          <w:iCs/>
        </w:rPr>
        <w:t>The</w:t>
      </w:r>
      <w:proofErr w:type="spellEnd"/>
      <w:r>
        <w:rPr>
          <w:i/>
          <w:iCs/>
        </w:rPr>
        <w:t xml:space="preserve"> </w:t>
      </w:r>
      <w:proofErr w:type="spellStart"/>
      <w:r>
        <w:rPr>
          <w:i/>
          <w:iCs/>
        </w:rPr>
        <w:t>Book</w:t>
      </w:r>
      <w:proofErr w:type="spellEnd"/>
      <w:r>
        <w:rPr>
          <w:i/>
          <w:iCs/>
        </w:rPr>
        <w:t xml:space="preserve"> Publishing </w:t>
      </w:r>
      <w:proofErr w:type="spellStart"/>
      <w:r>
        <w:rPr>
          <w:i/>
          <w:iCs/>
        </w:rPr>
        <w:t>Industry</w:t>
      </w:r>
      <w:proofErr w:type="spellEnd"/>
      <w:r>
        <w:rPr>
          <w:i/>
          <w:iCs/>
        </w:rPr>
        <w:t>,</w:t>
      </w:r>
      <w:r>
        <w:t xml:space="preserve"> </w:t>
      </w:r>
      <w:proofErr w:type="spellStart"/>
      <w:r>
        <w:t>Mahwah</w:t>
      </w:r>
      <w:proofErr w:type="spellEnd"/>
      <w:r>
        <w:t xml:space="preserve"> — London, 2005 [1997]; </w:t>
      </w:r>
      <w:r>
        <w:rPr>
          <w:smallCaps/>
        </w:rPr>
        <w:t>Kováč,</w:t>
      </w:r>
      <w:r>
        <w:t xml:space="preserve"> </w:t>
      </w:r>
      <w:proofErr w:type="spellStart"/>
      <w:r>
        <w:t>Miha</w:t>
      </w:r>
      <w:proofErr w:type="spellEnd"/>
      <w:r>
        <w:t xml:space="preserve">. </w:t>
      </w:r>
      <w:proofErr w:type="spellStart"/>
      <w:r>
        <w:rPr>
          <w:i/>
          <w:iCs/>
        </w:rPr>
        <w:t>Never</w:t>
      </w:r>
      <w:proofErr w:type="spellEnd"/>
      <w:r>
        <w:rPr>
          <w:i/>
          <w:iCs/>
        </w:rPr>
        <w:t xml:space="preserve"> Mind </w:t>
      </w:r>
      <w:proofErr w:type="spellStart"/>
      <w:r>
        <w:rPr>
          <w:i/>
          <w:iCs/>
        </w:rPr>
        <w:t>the</w:t>
      </w:r>
      <w:proofErr w:type="spellEnd"/>
      <w:r>
        <w:rPr>
          <w:i/>
          <w:iCs/>
        </w:rPr>
        <w:t xml:space="preserve"> </w:t>
      </w:r>
      <w:proofErr w:type="gramStart"/>
      <w:r>
        <w:rPr>
          <w:i/>
          <w:iCs/>
        </w:rPr>
        <w:t>Web</w:t>
      </w:r>
      <w:proofErr w:type="gramEnd"/>
      <w:r>
        <w:rPr>
          <w:i/>
          <w:iCs/>
        </w:rPr>
        <w:t xml:space="preserve">. </w:t>
      </w:r>
      <w:proofErr w:type="spellStart"/>
      <w:r>
        <w:rPr>
          <w:i/>
          <w:iCs/>
        </w:rPr>
        <w:t>Here</w:t>
      </w:r>
      <w:proofErr w:type="spellEnd"/>
      <w:r>
        <w:rPr>
          <w:i/>
          <w:iCs/>
        </w:rPr>
        <w:t xml:space="preserve"> </w:t>
      </w:r>
      <w:r>
        <w:rPr>
          <w:i/>
          <w:iCs/>
          <w:lang w:val="es-ES" w:eastAsia="es-ES" w:bidi="es-ES"/>
        </w:rPr>
        <w:t xml:space="preserve">Comes </w:t>
      </w:r>
      <w:proofErr w:type="spellStart"/>
      <w:r>
        <w:rPr>
          <w:i/>
          <w:iCs/>
        </w:rPr>
        <w:t>the</w:t>
      </w:r>
      <w:proofErr w:type="spellEnd"/>
      <w:r>
        <w:rPr>
          <w:i/>
          <w:iCs/>
        </w:rPr>
        <w:t xml:space="preserve"> </w:t>
      </w:r>
      <w:proofErr w:type="spellStart"/>
      <w:r>
        <w:rPr>
          <w:i/>
          <w:iCs/>
        </w:rPr>
        <w:t>Book</w:t>
      </w:r>
      <w:proofErr w:type="spellEnd"/>
      <w:r>
        <w:rPr>
          <w:i/>
          <w:iCs/>
        </w:rPr>
        <w:t>,</w:t>
      </w:r>
      <w:r>
        <w:t xml:space="preserve"> Oxford: </w:t>
      </w:r>
      <w:proofErr w:type="spellStart"/>
      <w:r>
        <w:t>Chandos</w:t>
      </w:r>
      <w:proofErr w:type="spellEnd"/>
      <w:r>
        <w:t xml:space="preserve"> Publishing, 2008; </w:t>
      </w:r>
      <w:proofErr w:type="spellStart"/>
      <w:r>
        <w:rPr>
          <w:smallCaps/>
          <w:lang w:val="fr-FR" w:eastAsia="fr-FR" w:bidi="fr-FR"/>
        </w:rPr>
        <w:t>McIlroy</w:t>
      </w:r>
      <w:proofErr w:type="spellEnd"/>
      <w:r>
        <w:rPr>
          <w:smallCaps/>
          <w:lang w:val="fr-FR" w:eastAsia="fr-FR" w:bidi="fr-FR"/>
        </w:rPr>
        <w:t>,</w:t>
      </w:r>
      <w:r>
        <w:rPr>
          <w:lang w:val="fr-FR" w:eastAsia="fr-FR" w:bidi="fr-FR"/>
        </w:rPr>
        <w:t xml:space="preserve"> </w:t>
      </w:r>
      <w:r>
        <w:t>'I had. „</w:t>
      </w:r>
      <w:proofErr w:type="spellStart"/>
      <w:r>
        <w:t>The</w:t>
      </w:r>
      <w:proofErr w:type="spellEnd"/>
      <w:r>
        <w:t xml:space="preserve"> </w:t>
      </w:r>
      <w:r>
        <w:rPr>
          <w:lang w:val="fr-FR" w:eastAsia="fr-FR" w:bidi="fr-FR"/>
        </w:rPr>
        <w:t xml:space="preserve">Future </w:t>
      </w:r>
      <w:proofErr w:type="spellStart"/>
      <w:r>
        <w:t>of</w:t>
      </w:r>
      <w:proofErr w:type="spellEnd"/>
      <w:r>
        <w:t xml:space="preserve"> </w:t>
      </w:r>
      <w:proofErr w:type="spellStart"/>
      <w:r>
        <w:t>ihe</w:t>
      </w:r>
      <w:proofErr w:type="spellEnd"/>
      <w:r>
        <w:t xml:space="preserve"> </w:t>
      </w:r>
      <w:proofErr w:type="spellStart"/>
      <w:r>
        <w:t>Book</w:t>
      </w:r>
      <w:proofErr w:type="spellEnd"/>
      <w:r>
        <w:t xml:space="preserve"> Publishing“, on-line: </w:t>
      </w:r>
      <w:hyperlink r:id="rId9" w:history="1">
        <w:r>
          <w:rPr>
            <w:lang w:val="en-US" w:eastAsia="en-US" w:bidi="en-US"/>
          </w:rPr>
          <w:t>http://thefutureofpublishing.com/industries/the-future-of-book-publishing/</w:t>
        </w:r>
      </w:hyperlink>
      <w:r>
        <w:rPr>
          <w:lang w:val="en-US" w:eastAsia="en-US" w:bidi="en-US"/>
        </w:rPr>
        <w:t xml:space="preserve"> </w:t>
      </w:r>
      <w:r>
        <w:t xml:space="preserve">[přístup 2013-12-06]; </w:t>
      </w:r>
      <w:r>
        <w:rPr>
          <w:smallCaps/>
          <w:lang w:val="fr-FR" w:eastAsia="fr-FR" w:bidi="fr-FR"/>
        </w:rPr>
        <w:t>Miller,</w:t>
      </w:r>
      <w:r>
        <w:rPr>
          <w:lang w:val="fr-FR" w:eastAsia="fr-FR" w:bidi="fr-FR"/>
        </w:rPr>
        <w:t xml:space="preserve"> </w:t>
      </w:r>
      <w:r>
        <w:t xml:space="preserve">Laura </w:t>
      </w:r>
      <w:r>
        <w:rPr>
          <w:lang w:val="fr-FR" w:eastAsia="fr-FR" w:bidi="fr-FR"/>
        </w:rPr>
        <w:t xml:space="preserve">J., </w:t>
      </w:r>
      <w:proofErr w:type="spellStart"/>
      <w:r>
        <w:rPr>
          <w:i/>
          <w:iCs/>
        </w:rPr>
        <w:t>Reluctant</w:t>
      </w:r>
      <w:proofErr w:type="spellEnd"/>
      <w:r>
        <w:rPr>
          <w:i/>
          <w:iCs/>
        </w:rPr>
        <w:t xml:space="preserve"> </w:t>
      </w:r>
      <w:proofErr w:type="spellStart"/>
      <w:r>
        <w:rPr>
          <w:i/>
          <w:iCs/>
        </w:rPr>
        <w:t>Capitalists</w:t>
      </w:r>
      <w:proofErr w:type="spellEnd"/>
      <w:r>
        <w:rPr>
          <w:i/>
          <w:iCs/>
        </w:rPr>
        <w:t xml:space="preserve">. </w:t>
      </w:r>
      <w:proofErr w:type="spellStart"/>
      <w:r>
        <w:rPr>
          <w:i/>
          <w:iCs/>
        </w:rPr>
        <w:t>Bookselling</w:t>
      </w:r>
      <w:proofErr w:type="spellEnd"/>
      <w:r>
        <w:rPr>
          <w:i/>
          <w:iCs/>
        </w:rPr>
        <w:t xml:space="preserve"> and </w:t>
      </w:r>
      <w:proofErr w:type="spellStart"/>
      <w:r>
        <w:rPr>
          <w:i/>
          <w:iCs/>
        </w:rPr>
        <w:t>the</w:t>
      </w:r>
      <w:proofErr w:type="spellEnd"/>
      <w:r>
        <w:rPr>
          <w:i/>
          <w:iCs/>
        </w:rPr>
        <w:t xml:space="preserve"> </w:t>
      </w:r>
      <w:r>
        <w:rPr>
          <w:i/>
          <w:iCs/>
          <w:lang w:val="fr-FR" w:eastAsia="fr-FR" w:bidi="fr-FR"/>
        </w:rPr>
        <w:t xml:space="preserve">Culture </w:t>
      </w:r>
      <w:proofErr w:type="spellStart"/>
      <w:r>
        <w:rPr>
          <w:i/>
          <w:iCs/>
        </w:rPr>
        <w:t>of</w:t>
      </w:r>
      <w:proofErr w:type="spellEnd"/>
      <w:r>
        <w:rPr>
          <w:i/>
          <w:iCs/>
        </w:rPr>
        <w:t xml:space="preserve"> </w:t>
      </w:r>
      <w:proofErr w:type="spellStart"/>
      <w:r>
        <w:rPr>
          <w:i/>
          <w:iCs/>
        </w:rPr>
        <w:t>Consumption</w:t>
      </w:r>
      <w:proofErr w:type="spellEnd"/>
      <w:r>
        <w:rPr>
          <w:i/>
          <w:iCs/>
        </w:rPr>
        <w:t xml:space="preserve">, </w:t>
      </w:r>
      <w:r>
        <w:t xml:space="preserve">Chicago — London: </w:t>
      </w:r>
      <w:r>
        <w:rPr>
          <w:lang w:val="fr-FR" w:eastAsia="fr-FR" w:bidi="fr-FR"/>
        </w:rPr>
        <w:t>’</w:t>
      </w:r>
      <w:proofErr w:type="spellStart"/>
      <w:r>
        <w:rPr>
          <w:lang w:val="fr-FR" w:eastAsia="fr-FR" w:bidi="fr-FR"/>
        </w:rPr>
        <w:t>lhe</w:t>
      </w:r>
      <w:proofErr w:type="spellEnd"/>
      <w:r>
        <w:rPr>
          <w:lang w:val="fr-FR" w:eastAsia="fr-FR" w:bidi="fr-FR"/>
        </w:rPr>
        <w:t xml:space="preserve"> </w:t>
      </w:r>
      <w:r>
        <w:t xml:space="preserve">University </w:t>
      </w:r>
      <w:proofErr w:type="spellStart"/>
      <w:r>
        <w:t>of</w:t>
      </w:r>
      <w:proofErr w:type="spellEnd"/>
      <w:r>
        <w:t xml:space="preserve"> Chicago </w:t>
      </w:r>
      <w:proofErr w:type="spellStart"/>
      <w:r>
        <w:t>Press</w:t>
      </w:r>
      <w:proofErr w:type="spellEnd"/>
      <w:r>
        <w:t xml:space="preserve">, 2007; </w:t>
      </w:r>
      <w:r>
        <w:rPr>
          <w:i/>
          <w:iCs/>
        </w:rPr>
        <w:t xml:space="preserve">Publishing </w:t>
      </w:r>
      <w:proofErr w:type="spellStart"/>
      <w:r>
        <w:rPr>
          <w:i/>
          <w:iCs/>
          <w:lang w:val="fr-FR" w:eastAsia="fr-FR" w:bidi="fr-FR"/>
        </w:rPr>
        <w:t>Market</w:t>
      </w:r>
      <w:proofErr w:type="spellEnd"/>
      <w:r>
        <w:rPr>
          <w:i/>
          <w:iCs/>
          <w:lang w:val="fr-FR" w:eastAsia="fr-FR" w:bidi="fr-FR"/>
        </w:rPr>
        <w:t xml:space="preserve"> </w:t>
      </w:r>
      <w:proofErr w:type="spellStart"/>
      <w:r>
        <w:rPr>
          <w:i/>
          <w:iCs/>
        </w:rPr>
        <w:t>Watch</w:t>
      </w:r>
      <w:proofErr w:type="spellEnd"/>
      <w:r>
        <w:rPr>
          <w:i/>
          <w:iCs/>
        </w:rPr>
        <w:t xml:space="preserve">: </w:t>
      </w:r>
      <w:proofErr w:type="spellStart"/>
      <w:r>
        <w:rPr>
          <w:i/>
          <w:iCs/>
        </w:rPr>
        <w:t>Secloral</w:t>
      </w:r>
      <w:proofErr w:type="spellEnd"/>
      <w:r>
        <w:rPr>
          <w:i/>
          <w:iCs/>
        </w:rPr>
        <w:t xml:space="preserve"> Report 2: </w:t>
      </w:r>
      <w:proofErr w:type="spellStart"/>
      <w:r>
        <w:rPr>
          <w:i/>
          <w:iCs/>
        </w:rPr>
        <w:t>Book</w:t>
      </w:r>
      <w:proofErr w:type="spellEnd"/>
      <w:r>
        <w:rPr>
          <w:i/>
          <w:iCs/>
        </w:rPr>
        <w:t xml:space="preserve"> Publishing, on </w:t>
      </w:r>
      <w:r>
        <w:rPr>
          <w:i/>
          <w:iCs/>
          <w:lang w:val="fr-FR" w:eastAsia="fr-FR" w:bidi="fr-FR"/>
        </w:rPr>
        <w:t>Une:</w:t>
      </w:r>
      <w:r>
        <w:rPr>
          <w:lang w:val="fr-FR" w:eastAsia="fr-FR" w:bidi="fr-FR"/>
        </w:rPr>
        <w:t xml:space="preserve"> </w:t>
      </w:r>
      <w:r>
        <w:t>htlp://</w:t>
      </w:r>
      <w:hyperlink r:id="rId10" w:history="1">
        <w:r>
          <w:t xml:space="preserve">www.rightscom.com/Portals/0/European%20Book%20Publishing%20Re- </w:t>
        </w:r>
        <w:r>
          <w:rPr>
            <w:lang w:val="en-US" w:eastAsia="en-US" w:bidi="en-US"/>
          </w:rPr>
          <w:t>port.pdf</w:t>
        </w:r>
      </w:hyperlink>
      <w:r>
        <w:rPr>
          <w:lang w:val="en-US" w:eastAsia="en-US" w:bidi="en-US"/>
        </w:rPr>
        <w:t xml:space="preserve"> </w:t>
      </w:r>
      <w:r>
        <w:t xml:space="preserve">[přístup 2014-01-24]; </w:t>
      </w:r>
      <w:proofErr w:type="spellStart"/>
      <w:r>
        <w:rPr>
          <w:smallCaps/>
        </w:rPr>
        <w:t>Schiffrin</w:t>
      </w:r>
      <w:proofErr w:type="spellEnd"/>
      <w:r>
        <w:rPr>
          <w:smallCaps/>
        </w:rPr>
        <w:t>,</w:t>
      </w:r>
      <w:r>
        <w:t xml:space="preserve"> </w:t>
      </w:r>
      <w:proofErr w:type="spellStart"/>
      <w:r>
        <w:rPr>
          <w:lang w:val="es-ES" w:eastAsia="es-ES" w:bidi="es-ES"/>
        </w:rPr>
        <w:t>Andró</w:t>
      </w:r>
      <w:proofErr w:type="spellEnd"/>
      <w:r>
        <w:rPr>
          <w:lang w:val="es-ES" w:eastAsia="es-ES" w:bidi="es-ES"/>
        </w:rPr>
        <w:t xml:space="preserve">. </w:t>
      </w:r>
      <w:proofErr w:type="spellStart"/>
      <w:r>
        <w:rPr>
          <w:i/>
          <w:iCs/>
        </w:rPr>
        <w:t>The</w:t>
      </w:r>
      <w:proofErr w:type="spellEnd"/>
      <w:r>
        <w:rPr>
          <w:i/>
          <w:iCs/>
        </w:rPr>
        <w:t xml:space="preserve"> Business </w:t>
      </w:r>
      <w:proofErr w:type="spellStart"/>
      <w:r>
        <w:rPr>
          <w:i/>
          <w:iCs/>
        </w:rPr>
        <w:t>ofBooks</w:t>
      </w:r>
      <w:proofErr w:type="spellEnd"/>
      <w:r>
        <w:rPr>
          <w:i/>
          <w:iCs/>
        </w:rPr>
        <w:t xml:space="preserve">: I </w:t>
      </w:r>
      <w:proofErr w:type="spellStart"/>
      <w:r>
        <w:rPr>
          <w:i/>
          <w:iCs/>
        </w:rPr>
        <w:t>low</w:t>
      </w:r>
      <w:proofErr w:type="spellEnd"/>
      <w:r>
        <w:rPr>
          <w:i/>
          <w:iCs/>
        </w:rPr>
        <w:t xml:space="preserve"> International </w:t>
      </w:r>
      <w:r>
        <w:rPr>
          <w:i/>
          <w:iCs/>
          <w:lang w:val="fr-FR" w:eastAsia="fr-FR" w:bidi="fr-FR"/>
        </w:rPr>
        <w:t xml:space="preserve">Conglomérâtes </w:t>
      </w:r>
      <w:proofErr w:type="spellStart"/>
      <w:r>
        <w:rPr>
          <w:i/>
          <w:iCs/>
          <w:lang w:val="es-ES" w:eastAsia="es-ES" w:bidi="es-ES"/>
        </w:rPr>
        <w:t>T'ook</w:t>
      </w:r>
      <w:proofErr w:type="spellEnd"/>
      <w:r>
        <w:rPr>
          <w:i/>
          <w:iCs/>
          <w:lang w:val="es-ES" w:eastAsia="es-ES" w:bidi="es-ES"/>
        </w:rPr>
        <w:t xml:space="preserve"> </w:t>
      </w:r>
      <w:proofErr w:type="spellStart"/>
      <w:r>
        <w:rPr>
          <w:i/>
          <w:iCs/>
        </w:rPr>
        <w:t>Over</w:t>
      </w:r>
      <w:proofErr w:type="spellEnd"/>
      <w:r>
        <w:rPr>
          <w:i/>
          <w:iCs/>
        </w:rPr>
        <w:t xml:space="preserve"> Publishing and </w:t>
      </w:r>
      <w:r>
        <w:rPr>
          <w:i/>
          <w:iCs/>
          <w:lang w:val="fr-FR" w:eastAsia="fr-FR" w:bidi="fr-FR"/>
        </w:rPr>
        <w:t xml:space="preserve">Changes </w:t>
      </w:r>
      <w:proofErr w:type="spellStart"/>
      <w:r>
        <w:rPr>
          <w:i/>
          <w:iCs/>
        </w:rPr>
        <w:t>the</w:t>
      </w:r>
      <w:proofErr w:type="spellEnd"/>
      <w:r>
        <w:rPr>
          <w:i/>
          <w:iCs/>
        </w:rPr>
        <w:t xml:space="preserve"> </w:t>
      </w:r>
      <w:proofErr w:type="spellStart"/>
      <w:r>
        <w:rPr>
          <w:i/>
          <w:iCs/>
        </w:rPr>
        <w:t>Way</w:t>
      </w:r>
      <w:proofErr w:type="spellEnd"/>
      <w:r>
        <w:rPr>
          <w:i/>
          <w:iCs/>
        </w:rPr>
        <w:t xml:space="preserve"> </w:t>
      </w:r>
      <w:proofErr w:type="spellStart"/>
      <w:r>
        <w:rPr>
          <w:i/>
          <w:iCs/>
        </w:rPr>
        <w:t>We</w:t>
      </w:r>
      <w:proofErr w:type="spellEnd"/>
      <w:r>
        <w:rPr>
          <w:i/>
          <w:iCs/>
        </w:rPr>
        <w:t xml:space="preserve"> </w:t>
      </w:r>
      <w:proofErr w:type="spellStart"/>
      <w:r>
        <w:rPr>
          <w:i/>
          <w:iCs/>
        </w:rPr>
        <w:t>Read</w:t>
      </w:r>
      <w:proofErr w:type="spellEnd"/>
      <w:r>
        <w:rPr>
          <w:i/>
          <w:iCs/>
        </w:rPr>
        <w:t>,</w:t>
      </w:r>
      <w:r>
        <w:t xml:space="preserve"> London: </w:t>
      </w:r>
      <w:r>
        <w:rPr>
          <w:lang w:val="es-ES" w:eastAsia="es-ES" w:bidi="es-ES"/>
        </w:rPr>
        <w:t xml:space="preserve">Verso, </w:t>
      </w:r>
      <w:r>
        <w:t xml:space="preserve">2000; </w:t>
      </w:r>
      <w:r>
        <w:rPr>
          <w:smallCaps/>
          <w:lang w:val="fr-FR" w:eastAsia="fr-FR" w:bidi="fr-FR"/>
        </w:rPr>
        <w:t>Simon,</w:t>
      </w:r>
      <w:r>
        <w:rPr>
          <w:lang w:val="fr-FR" w:eastAsia="fr-FR" w:bidi="fr-FR"/>
        </w:rPr>
        <w:t xml:space="preserve"> Jean </w:t>
      </w:r>
      <w:r>
        <w:t xml:space="preserve">Paul </w:t>
      </w:r>
      <w:r>
        <w:rPr>
          <w:smallCaps/>
          <w:lang w:val="fr-FR" w:eastAsia="fr-FR" w:bidi="fr-FR"/>
        </w:rPr>
        <w:t xml:space="preserve">De </w:t>
      </w:r>
      <w:proofErr w:type="spellStart"/>
      <w:r>
        <w:rPr>
          <w:smallCaps/>
        </w:rPr>
        <w:t>Prato</w:t>
      </w:r>
      <w:proofErr w:type="spellEnd"/>
      <w:r>
        <w:rPr>
          <w:smallCaps/>
        </w:rPr>
        <w:t xml:space="preserve">, </w:t>
      </w:r>
      <w:proofErr w:type="spellStart"/>
      <w:r>
        <w:t>Giuditta</w:t>
      </w:r>
      <w:proofErr w:type="spellEnd"/>
      <w:r>
        <w:t xml:space="preserve">. </w:t>
      </w:r>
      <w:proofErr w:type="spellStart"/>
      <w:r>
        <w:rPr>
          <w:i/>
          <w:iCs/>
        </w:rPr>
        <w:t>The</w:t>
      </w:r>
      <w:proofErr w:type="spellEnd"/>
      <w:r>
        <w:rPr>
          <w:i/>
          <w:iCs/>
        </w:rPr>
        <w:t xml:space="preserve"> </w:t>
      </w:r>
      <w:proofErr w:type="spellStart"/>
      <w:r>
        <w:rPr>
          <w:i/>
          <w:iCs/>
        </w:rPr>
        <w:t>Book</w:t>
      </w:r>
      <w:proofErr w:type="spellEnd"/>
      <w:r>
        <w:rPr>
          <w:i/>
          <w:iCs/>
        </w:rPr>
        <w:t xml:space="preserve"> Publishing </w:t>
      </w:r>
      <w:proofErr w:type="spellStart"/>
      <w:r>
        <w:rPr>
          <w:i/>
          <w:iCs/>
        </w:rPr>
        <w:t>Industry</w:t>
      </w:r>
      <w:proofErr w:type="spellEnd"/>
      <w:r>
        <w:rPr>
          <w:i/>
          <w:iCs/>
        </w:rPr>
        <w:t>,</w:t>
      </w:r>
      <w:r>
        <w:t xml:space="preserve"> on line: </w:t>
      </w:r>
      <w:hyperlink r:id="rId11" w:history="1">
        <w:r>
          <w:t>http://ipls.jrc.ec.europa.eu/publicalions/pub.cfm?id=5702</w:t>
        </w:r>
      </w:hyperlink>
      <w:r>
        <w:t xml:space="preserve"> </w:t>
      </w:r>
      <w:r>
        <w:rPr>
          <w:sz w:val="14"/>
          <w:szCs w:val="14"/>
        </w:rPr>
        <w:t xml:space="preserve">|přístup201 t 12 </w:t>
      </w:r>
      <w:r>
        <w:rPr>
          <w:sz w:val="12"/>
          <w:szCs w:val="12"/>
        </w:rPr>
        <w:t xml:space="preserve">06|; SUTIIIIHI.ANI), </w:t>
      </w:r>
      <w:r>
        <w:t>|</w:t>
      </w:r>
      <w:proofErr w:type="spellStart"/>
      <w:r>
        <w:t>ohn</w:t>
      </w:r>
      <w:proofErr w:type="spellEnd"/>
      <w:r>
        <w:t xml:space="preserve">. </w:t>
      </w:r>
      <w:proofErr w:type="spellStart"/>
      <w:r>
        <w:rPr>
          <w:i/>
          <w:iCs/>
        </w:rPr>
        <w:t>Bestsellers</w:t>
      </w:r>
      <w:proofErr w:type="spellEnd"/>
      <w:r>
        <w:rPr>
          <w:i/>
          <w:iCs/>
        </w:rPr>
        <w:t xml:space="preserve">. A </w:t>
      </w:r>
      <w:proofErr w:type="spellStart"/>
      <w:r>
        <w:rPr>
          <w:i/>
          <w:iCs/>
        </w:rPr>
        <w:t>VeryShorl</w:t>
      </w:r>
      <w:proofErr w:type="spellEnd"/>
      <w:r>
        <w:t xml:space="preserve"> </w:t>
      </w:r>
      <w:r>
        <w:rPr>
          <w:lang w:val="fr-FR" w:eastAsia="fr-FR" w:bidi="fr-FR"/>
        </w:rPr>
        <w:t>/n/</w:t>
      </w:r>
      <w:proofErr w:type="spellStart"/>
      <w:r>
        <w:rPr>
          <w:lang w:val="fr-FR" w:eastAsia="fr-FR" w:bidi="fr-FR"/>
        </w:rPr>
        <w:t>riidiK</w:t>
      </w:r>
      <w:proofErr w:type="spellEnd"/>
      <w:r>
        <w:t xml:space="preserve">/ion, Oxford: Oxford University </w:t>
      </w:r>
      <w:proofErr w:type="spellStart"/>
      <w:r>
        <w:t>Press</w:t>
      </w:r>
      <w:proofErr w:type="spellEnd"/>
      <w:r>
        <w:t xml:space="preserve">, 2007; </w:t>
      </w:r>
      <w:r>
        <w:rPr>
          <w:smallCaps/>
        </w:rPr>
        <w:t>Thompson.</w:t>
      </w:r>
      <w:r>
        <w:rPr>
          <w:sz w:val="14"/>
          <w:szCs w:val="14"/>
        </w:rPr>
        <w:t xml:space="preserve"> |</w:t>
      </w:r>
      <w:proofErr w:type="spellStart"/>
      <w:r>
        <w:rPr>
          <w:sz w:val="14"/>
          <w:szCs w:val="14"/>
        </w:rPr>
        <w:t>olin</w:t>
      </w:r>
      <w:proofErr w:type="spellEnd"/>
      <w:r>
        <w:rPr>
          <w:sz w:val="14"/>
          <w:szCs w:val="14"/>
        </w:rPr>
        <w:t xml:space="preserve"> II. </w:t>
      </w:r>
      <w:proofErr w:type="spellStart"/>
      <w:r>
        <w:rPr>
          <w:i/>
          <w:iCs/>
        </w:rPr>
        <w:t>Menhanls</w:t>
      </w:r>
      <w:proofErr w:type="spellEnd"/>
      <w:r>
        <w:rPr>
          <w:i/>
          <w:iCs/>
        </w:rPr>
        <w:t xml:space="preserve"> </w:t>
      </w:r>
      <w:proofErr w:type="spellStart"/>
      <w:r>
        <w:rPr>
          <w:i/>
          <w:iCs/>
          <w:sz w:val="16"/>
          <w:szCs w:val="16"/>
        </w:rPr>
        <w:t>of</w:t>
      </w:r>
      <w:proofErr w:type="spellEnd"/>
      <w:r>
        <w:rPr>
          <w:i/>
          <w:iCs/>
          <w:sz w:val="16"/>
          <w:szCs w:val="16"/>
        </w:rPr>
        <w:t xml:space="preserve"> </w:t>
      </w:r>
      <w:r>
        <w:rPr>
          <w:i/>
          <w:iCs/>
          <w:lang w:val="fr-FR" w:eastAsia="fr-FR" w:bidi="fr-FR"/>
        </w:rPr>
        <w:t xml:space="preserve">Culture. </w:t>
      </w:r>
      <w:proofErr w:type="spellStart"/>
      <w:r>
        <w:rPr>
          <w:i/>
          <w:iCs/>
        </w:rPr>
        <w:t>The</w:t>
      </w:r>
      <w:proofErr w:type="spellEnd"/>
      <w:r>
        <w:rPr>
          <w:i/>
          <w:iCs/>
        </w:rPr>
        <w:t xml:space="preserve"> Publishing </w:t>
      </w:r>
      <w:r>
        <w:rPr>
          <w:i/>
          <w:iCs/>
          <w:lang w:val="fr-FR" w:eastAsia="fr-FR" w:bidi="fr-FR"/>
        </w:rPr>
        <w:t xml:space="preserve">Business in </w:t>
      </w:r>
      <w:proofErr w:type="spellStart"/>
      <w:r>
        <w:rPr>
          <w:i/>
          <w:iCs/>
        </w:rPr>
        <w:t>the</w:t>
      </w:r>
      <w:proofErr w:type="spellEnd"/>
      <w:r>
        <w:rPr>
          <w:i/>
          <w:iCs/>
        </w:rPr>
        <w:t xml:space="preserve"> </w:t>
      </w:r>
      <w:proofErr w:type="spellStart"/>
      <w:r>
        <w:rPr>
          <w:i/>
          <w:iCs/>
        </w:rPr>
        <w:t>Twenty</w:t>
      </w:r>
      <w:proofErr w:type="spellEnd"/>
      <w:r>
        <w:rPr>
          <w:i/>
          <w:iCs/>
        </w:rPr>
        <w:t xml:space="preserve"> </w:t>
      </w:r>
      <w:proofErr w:type="spellStart"/>
      <w:r>
        <w:rPr>
          <w:i/>
          <w:iCs/>
        </w:rPr>
        <w:t>First</w:t>
      </w:r>
      <w:proofErr w:type="spellEnd"/>
      <w:r>
        <w:rPr>
          <w:i/>
          <w:iCs/>
        </w:rPr>
        <w:t xml:space="preserve"> </w:t>
      </w:r>
      <w:proofErr w:type="spellStart"/>
      <w:r>
        <w:rPr>
          <w:i/>
          <w:iCs/>
        </w:rPr>
        <w:t>Century</w:t>
      </w:r>
      <w:proofErr w:type="spellEnd"/>
      <w:r>
        <w:rPr>
          <w:i/>
          <w:iCs/>
        </w:rPr>
        <w:t xml:space="preserve">, </w:t>
      </w:r>
      <w:r>
        <w:rPr>
          <w:sz w:val="14"/>
          <w:szCs w:val="14"/>
          <w:lang w:val="fr-FR" w:eastAsia="fr-FR" w:bidi="fr-FR"/>
        </w:rPr>
        <w:t xml:space="preserve">Cambridge: </w:t>
      </w:r>
      <w:r>
        <w:rPr>
          <w:sz w:val="14"/>
          <w:szCs w:val="14"/>
        </w:rPr>
        <w:t>Polily, 21112 |2OIO|.</w:t>
      </w:r>
    </w:p>
    <w:p w14:paraId="6D1EAB53" w14:textId="77777777" w:rsidR="00845B18" w:rsidRDefault="00000000">
      <w:pPr>
        <w:spacing w:line="14" w:lineRule="exact"/>
        <w:sectPr w:rsidR="00845B18">
          <w:pgSz w:w="8400" w:h="11900"/>
          <w:pgMar w:top="360" w:right="360" w:bottom="360" w:left="360" w:header="0" w:footer="3" w:gutter="0"/>
          <w:cols w:space="720"/>
          <w:noEndnote/>
          <w:docGrid w:linePitch="360"/>
        </w:sectPr>
      </w:pPr>
      <w:r>
        <w:rPr>
          <w:rFonts w:ascii="Times New Roman" w:eastAsia="Times New Roman" w:hAnsi="Times New Roman" w:cs="Times New Roman"/>
          <w:noProof/>
          <w:sz w:val="15"/>
          <w:szCs w:val="15"/>
        </w:rPr>
        <w:drawing>
          <wp:anchor distT="0" distB="0" distL="0" distR="0" simplePos="0" relativeHeight="251659264" behindDoc="1" locked="0" layoutInCell="1" allowOverlap="1" wp14:anchorId="5DCA9DB3" wp14:editId="4110C1A1">
            <wp:simplePos x="0" y="0"/>
            <wp:positionH relativeFrom="page">
              <wp:posOffset>273050</wp:posOffset>
            </wp:positionH>
            <wp:positionV relativeFrom="page">
              <wp:posOffset>3507740</wp:posOffset>
            </wp:positionV>
            <wp:extent cx="2371090" cy="18288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2"/>
                    <a:stretch/>
                  </pic:blipFill>
                  <pic:spPr>
                    <a:xfrm>
                      <a:off x="0" y="0"/>
                      <a:ext cx="2371090" cy="182880"/>
                    </a:xfrm>
                    <a:prstGeom prst="rect">
                      <a:avLst/>
                    </a:prstGeom>
                  </pic:spPr>
                </pic:pic>
              </a:graphicData>
            </a:graphic>
          </wp:anchor>
        </w:drawing>
      </w:r>
      <w:r>
        <w:rPr>
          <w:rFonts w:ascii="Times New Roman" w:eastAsia="Times New Roman" w:hAnsi="Times New Roman" w:cs="Times New Roman"/>
          <w:noProof/>
          <w:sz w:val="15"/>
          <w:szCs w:val="15"/>
        </w:rPr>
        <w:drawing>
          <wp:anchor distT="0" distB="0" distL="0" distR="0" simplePos="0" relativeHeight="251660288" behindDoc="1" locked="0" layoutInCell="1" allowOverlap="1" wp14:anchorId="3AE12304" wp14:editId="6A092F03">
            <wp:simplePos x="0" y="0"/>
            <wp:positionH relativeFrom="page">
              <wp:posOffset>2735580</wp:posOffset>
            </wp:positionH>
            <wp:positionV relativeFrom="page">
              <wp:posOffset>3510915</wp:posOffset>
            </wp:positionV>
            <wp:extent cx="1950720" cy="170815"/>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3"/>
                    <a:stretch/>
                  </pic:blipFill>
                  <pic:spPr>
                    <a:xfrm>
                      <a:off x="0" y="0"/>
                      <a:ext cx="1950720" cy="170815"/>
                    </a:xfrm>
                    <a:prstGeom prst="rect">
                      <a:avLst/>
                    </a:prstGeom>
                  </pic:spPr>
                </pic:pic>
              </a:graphicData>
            </a:graphic>
          </wp:anchor>
        </w:drawing>
      </w:r>
    </w:p>
    <w:p w14:paraId="4C9F8504" w14:textId="77777777" w:rsidR="00845B18" w:rsidRDefault="00845B18">
      <w:pPr>
        <w:spacing w:line="14" w:lineRule="exact"/>
      </w:pPr>
    </w:p>
    <w:p w14:paraId="1EBEB9A8" w14:textId="77777777" w:rsidR="00845B18" w:rsidRDefault="00000000">
      <w:pPr>
        <w:pStyle w:val="Zhlavnebozpat0"/>
        <w:framePr w:wrap="none" w:vAnchor="page" w:hAnchor="page" w:x="4345" w:y="158"/>
        <w:shd w:val="clear" w:color="auto" w:fill="auto"/>
        <w:rPr>
          <w:sz w:val="18"/>
          <w:szCs w:val="18"/>
        </w:rPr>
      </w:pPr>
      <w:r>
        <w:rPr>
          <w:sz w:val="18"/>
          <w:szCs w:val="18"/>
        </w:rPr>
        <w:t>1141</w:t>
      </w:r>
    </w:p>
    <w:p w14:paraId="15E51549" w14:textId="77777777" w:rsidR="00845B18" w:rsidRDefault="00000000">
      <w:pPr>
        <w:pStyle w:val="Zkladntext20"/>
        <w:framePr w:w="6984" w:h="2654" w:hRule="exact" w:wrap="none" w:vAnchor="page" w:hAnchor="page" w:x="995" w:y="653"/>
        <w:shd w:val="clear" w:color="auto" w:fill="auto"/>
        <w:spacing w:after="120" w:line="288" w:lineRule="auto"/>
        <w:rPr>
          <w:sz w:val="18"/>
          <w:szCs w:val="18"/>
        </w:rPr>
      </w:pPr>
      <w:r>
        <w:rPr>
          <w:sz w:val="18"/>
          <w:szCs w:val="18"/>
        </w:rPr>
        <w:t>Zcela knižně a čtenářsky zanedbanou částí světa, v níž se navíc dlouhodobě situace nijak nezlepšuje, je Afrika, kde podle údajů UNESCO byla ještě v 90. letech minulého století v některých subsaharských zemích negramotnost obyvatelstva vyšší než osmdesát pro</w:t>
      </w:r>
      <w:r>
        <w:rPr>
          <w:sz w:val="18"/>
          <w:szCs w:val="18"/>
        </w:rPr>
        <w:softHyphen/>
        <w:t>cent. Tato principiální nerovnost panuje po celou moderní dobu. Dnes se dvě třetiny obratu realizují v západním (euroamerickém) světě, ještě v 80. letech 20. století to byly více než tři čtvrtiny. V západním světě zaznamenáváme v posledním období meziroční poklesy obratu (stejně jako počtu zaměstnanců), nikoli však titulové nabídky. Ta se na</w:t>
      </w:r>
      <w:r>
        <w:rPr>
          <w:sz w:val="18"/>
          <w:szCs w:val="18"/>
        </w:rPr>
        <w:softHyphen/>
        <w:t>opak neustále zvyšuje.</w:t>
      </w:r>
    </w:p>
    <w:p w14:paraId="106E4E4A" w14:textId="77777777" w:rsidR="00845B18" w:rsidRDefault="00000000">
      <w:pPr>
        <w:pStyle w:val="Zkladntext20"/>
        <w:framePr w:w="6984" w:h="2654" w:hRule="exact" w:wrap="none" w:vAnchor="page" w:hAnchor="page" w:x="995" w:y="653"/>
        <w:shd w:val="clear" w:color="auto" w:fill="auto"/>
        <w:spacing w:after="0" w:line="283" w:lineRule="auto"/>
        <w:rPr>
          <w:sz w:val="18"/>
          <w:szCs w:val="18"/>
        </w:rPr>
      </w:pPr>
      <w:r>
        <w:rPr>
          <w:sz w:val="18"/>
          <w:szCs w:val="18"/>
        </w:rPr>
        <w:t>Podívejme se na podíl knižního průmyslu na celkovém hrubém domácím produktu; následující graf ukazuje jeho průběh od roku 1970 do roku 2010 v USA.</w:t>
      </w:r>
    </w:p>
    <w:p w14:paraId="72BE2C45" w14:textId="77777777" w:rsidR="00845B18" w:rsidRDefault="00000000">
      <w:pPr>
        <w:pStyle w:val="Titulekobrzku0"/>
        <w:framePr w:wrap="none" w:vAnchor="page" w:hAnchor="page" w:x="1355" w:y="3509"/>
        <w:shd w:val="clear" w:color="auto" w:fill="auto"/>
        <w:rPr>
          <w:sz w:val="16"/>
          <w:szCs w:val="16"/>
        </w:rPr>
      </w:pPr>
      <w:r>
        <w:rPr>
          <w:rFonts w:ascii="Calibri" w:eastAsia="Calibri" w:hAnsi="Calibri" w:cs="Calibri"/>
          <w:b w:val="0"/>
          <w:bCs w:val="0"/>
          <w:sz w:val="16"/>
          <w:szCs w:val="16"/>
        </w:rPr>
        <w:t>Graf 1.1 Podíl knižního trhu na celkovém hrubém domácím produktu — USA (1970-2010)</w:t>
      </w:r>
    </w:p>
    <w:p w14:paraId="04B54689" w14:textId="77777777" w:rsidR="00845B18" w:rsidRDefault="00000000">
      <w:pPr>
        <w:pStyle w:val="Titulekobrzku0"/>
        <w:framePr w:w="6960" w:h="163" w:hRule="exact" w:wrap="none" w:vAnchor="page" w:hAnchor="page" w:x="995" w:y="6259"/>
        <w:shd w:val="clear" w:color="auto" w:fill="auto"/>
        <w:jc w:val="center"/>
        <w:rPr>
          <w:sz w:val="12"/>
          <w:szCs w:val="12"/>
        </w:rPr>
      </w:pPr>
      <w:r>
        <w:rPr>
          <w:b w:val="0"/>
          <w:bCs w:val="0"/>
          <w:sz w:val="12"/>
          <w:szCs w:val="12"/>
        </w:rPr>
        <w:t xml:space="preserve">Zdroj: D. </w:t>
      </w:r>
      <w:proofErr w:type="spellStart"/>
      <w:r>
        <w:rPr>
          <w:b w:val="0"/>
          <w:bCs w:val="0"/>
          <w:sz w:val="12"/>
          <w:szCs w:val="12"/>
        </w:rPr>
        <w:t>Waterman</w:t>
      </w:r>
      <w:proofErr w:type="spellEnd"/>
      <w:r>
        <w:rPr>
          <w:b w:val="0"/>
          <w:bCs w:val="0"/>
          <w:sz w:val="12"/>
          <w:szCs w:val="12"/>
        </w:rPr>
        <w:t>, prezentace na prvním workshopu MCI (2011)</w:t>
      </w:r>
    </w:p>
    <w:p w14:paraId="395FA5CD" w14:textId="77777777" w:rsidR="00845B18" w:rsidRDefault="00000000">
      <w:pPr>
        <w:pStyle w:val="Zkladntext20"/>
        <w:framePr w:w="6984" w:h="1114" w:hRule="exact" w:wrap="none" w:vAnchor="page" w:hAnchor="page" w:x="995" w:y="6619"/>
        <w:shd w:val="clear" w:color="auto" w:fill="auto"/>
        <w:spacing w:after="120" w:line="283" w:lineRule="auto"/>
        <w:rPr>
          <w:sz w:val="18"/>
          <w:szCs w:val="18"/>
        </w:rPr>
      </w:pPr>
      <w:r>
        <w:rPr>
          <w:sz w:val="18"/>
          <w:szCs w:val="18"/>
        </w:rPr>
        <w:t>Jakkoli se z amerického trhu úplně nedá usuzovat na trh celého světa (je v mnoha ohle</w:t>
      </w:r>
      <w:r>
        <w:rPr>
          <w:sz w:val="18"/>
          <w:szCs w:val="18"/>
        </w:rPr>
        <w:softHyphen/>
        <w:t>dech velmi specifický),</w:t>
      </w:r>
      <w:r>
        <w:rPr>
          <w:sz w:val="18"/>
          <w:szCs w:val="18"/>
          <w:vertAlign w:val="superscript"/>
        </w:rPr>
        <w:t>2</w:t>
      </w:r>
      <w:r>
        <w:rPr>
          <w:sz w:val="18"/>
          <w:szCs w:val="18"/>
        </w:rPr>
        <w:t>) hlavní trend je čitelný: 1970-1985 vzestup podílu, 1985-1995 stabilizace, 1995-2010 sestup.</w:t>
      </w:r>
    </w:p>
    <w:p w14:paraId="25686D82" w14:textId="77777777" w:rsidR="00845B18" w:rsidRDefault="00000000">
      <w:pPr>
        <w:pStyle w:val="Zkladntext20"/>
        <w:framePr w:w="6984" w:h="1114" w:hRule="exact" w:wrap="none" w:vAnchor="page" w:hAnchor="page" w:x="995" w:y="6619"/>
        <w:shd w:val="clear" w:color="auto" w:fill="auto"/>
        <w:spacing w:after="0" w:line="283" w:lineRule="auto"/>
        <w:rPr>
          <w:sz w:val="18"/>
          <w:szCs w:val="18"/>
        </w:rPr>
      </w:pPr>
      <w:r>
        <w:rPr>
          <w:sz w:val="18"/>
          <w:szCs w:val="18"/>
        </w:rPr>
        <w:t>Následující tabulka ukazuje největší trhy.</w:t>
      </w:r>
    </w:p>
    <w:p w14:paraId="323DEB5F" w14:textId="77777777" w:rsidR="00845B18" w:rsidRDefault="00000000">
      <w:pPr>
        <w:pStyle w:val="Titulektabulky0"/>
        <w:framePr w:wrap="none" w:vAnchor="page" w:hAnchor="page" w:x="2646" w:y="7939"/>
        <w:shd w:val="clear" w:color="auto" w:fill="auto"/>
        <w:spacing w:line="240" w:lineRule="auto"/>
        <w:ind w:left="0" w:firstLine="0"/>
        <w:rPr>
          <w:sz w:val="16"/>
          <w:szCs w:val="16"/>
        </w:rPr>
      </w:pPr>
      <w:r>
        <w:rPr>
          <w:rFonts w:ascii="Calibri" w:eastAsia="Calibri" w:hAnsi="Calibri" w:cs="Calibri"/>
          <w:sz w:val="16"/>
          <w:szCs w:val="16"/>
        </w:rPr>
        <w:t>Tab. 1.1 Knižní trh na světě — prvních patnáct zemí</w:t>
      </w:r>
    </w:p>
    <w:tbl>
      <w:tblPr>
        <w:tblOverlap w:val="never"/>
        <w:tblW w:w="0" w:type="auto"/>
        <w:tblLayout w:type="fixed"/>
        <w:tblCellMar>
          <w:left w:w="10" w:type="dxa"/>
          <w:right w:w="10" w:type="dxa"/>
        </w:tblCellMar>
        <w:tblLook w:val="0000" w:firstRow="0" w:lastRow="0" w:firstColumn="0" w:lastColumn="0" w:noHBand="0" w:noVBand="0"/>
      </w:tblPr>
      <w:tblGrid>
        <w:gridCol w:w="1886"/>
        <w:gridCol w:w="1608"/>
        <w:gridCol w:w="1632"/>
      </w:tblGrid>
      <w:tr w:rsidR="00845B18" w14:paraId="4DB26E1C" w14:textId="77777777">
        <w:tblPrEx>
          <w:tblCellMar>
            <w:top w:w="0" w:type="dxa"/>
            <w:bottom w:w="0" w:type="dxa"/>
          </w:tblCellMar>
        </w:tblPrEx>
        <w:trPr>
          <w:trHeight w:hRule="exact" w:val="418"/>
        </w:trPr>
        <w:tc>
          <w:tcPr>
            <w:tcW w:w="1886" w:type="dxa"/>
            <w:shd w:val="clear" w:color="auto" w:fill="FFFFFF"/>
          </w:tcPr>
          <w:p w14:paraId="0C7B5882" w14:textId="77777777" w:rsidR="00845B18" w:rsidRDefault="00000000">
            <w:pPr>
              <w:pStyle w:val="Jin0"/>
              <w:framePr w:w="5126" w:h="2712" w:wrap="none" w:vAnchor="page" w:hAnchor="page" w:x="1902" w:y="8290"/>
              <w:shd w:val="clear" w:color="auto" w:fill="auto"/>
              <w:spacing w:after="0" w:line="240" w:lineRule="auto"/>
              <w:jc w:val="center"/>
              <w:rPr>
                <w:sz w:val="16"/>
                <w:szCs w:val="16"/>
              </w:rPr>
            </w:pPr>
            <w:r>
              <w:rPr>
                <w:rFonts w:ascii="Calibri" w:eastAsia="Calibri" w:hAnsi="Calibri" w:cs="Calibri"/>
                <w:sz w:val="16"/>
                <w:szCs w:val="16"/>
              </w:rPr>
              <w:t>země</w:t>
            </w:r>
          </w:p>
        </w:tc>
        <w:tc>
          <w:tcPr>
            <w:tcW w:w="1608" w:type="dxa"/>
            <w:tcBorders>
              <w:left w:val="single" w:sz="4" w:space="0" w:color="auto"/>
            </w:tcBorders>
            <w:shd w:val="clear" w:color="auto" w:fill="FFFFFF"/>
            <w:vAlign w:val="bottom"/>
          </w:tcPr>
          <w:p w14:paraId="72FF2128" w14:textId="77777777" w:rsidR="00845B18" w:rsidRDefault="00000000">
            <w:pPr>
              <w:pStyle w:val="Jin0"/>
              <w:framePr w:w="5126" w:h="2712" w:wrap="none" w:vAnchor="page" w:hAnchor="page" w:x="1902" w:y="8290"/>
              <w:shd w:val="clear" w:color="auto" w:fill="auto"/>
              <w:spacing w:after="0" w:line="240" w:lineRule="auto"/>
              <w:jc w:val="center"/>
              <w:rPr>
                <w:sz w:val="16"/>
                <w:szCs w:val="16"/>
              </w:rPr>
            </w:pPr>
            <w:r>
              <w:rPr>
                <w:rFonts w:ascii="Calibri" w:eastAsia="Calibri" w:hAnsi="Calibri" w:cs="Calibri"/>
                <w:sz w:val="16"/>
                <w:szCs w:val="16"/>
              </w:rPr>
              <w:t>roční obrat</w:t>
            </w:r>
          </w:p>
          <w:p w14:paraId="40A7E2A2" w14:textId="77777777" w:rsidR="00845B18" w:rsidRDefault="00000000">
            <w:pPr>
              <w:pStyle w:val="Jin0"/>
              <w:framePr w:w="5126" w:h="2712" w:wrap="none" w:vAnchor="page" w:hAnchor="page" w:x="1902" w:y="8290"/>
              <w:shd w:val="clear" w:color="auto" w:fill="auto"/>
              <w:spacing w:after="0" w:line="221" w:lineRule="auto"/>
              <w:jc w:val="center"/>
              <w:rPr>
                <w:sz w:val="16"/>
                <w:szCs w:val="16"/>
              </w:rPr>
            </w:pPr>
            <w:r>
              <w:rPr>
                <w:rFonts w:ascii="Calibri" w:eastAsia="Calibri" w:hAnsi="Calibri" w:cs="Calibri"/>
                <w:sz w:val="16"/>
                <w:szCs w:val="16"/>
              </w:rPr>
              <w:t xml:space="preserve">(mld. </w:t>
            </w:r>
            <w:r>
              <w:rPr>
                <w:rFonts w:ascii="Calibri" w:eastAsia="Calibri" w:hAnsi="Calibri" w:cs="Calibri"/>
                <w:sz w:val="16"/>
                <w:szCs w:val="16"/>
                <w:lang w:val="es-ES" w:eastAsia="es-ES" w:bidi="es-ES"/>
              </w:rPr>
              <w:t>euro)</w:t>
            </w:r>
          </w:p>
        </w:tc>
        <w:tc>
          <w:tcPr>
            <w:tcW w:w="1632" w:type="dxa"/>
            <w:shd w:val="clear" w:color="auto" w:fill="FFFFFF"/>
            <w:vAlign w:val="bottom"/>
          </w:tcPr>
          <w:p w14:paraId="03AE384C" w14:textId="77777777" w:rsidR="00845B18" w:rsidRDefault="00000000">
            <w:pPr>
              <w:pStyle w:val="Jin0"/>
              <w:framePr w:w="5126" w:h="2712" w:wrap="none" w:vAnchor="page" w:hAnchor="page" w:x="1902" w:y="8290"/>
              <w:shd w:val="clear" w:color="auto" w:fill="auto"/>
              <w:spacing w:after="0" w:line="216" w:lineRule="auto"/>
              <w:jc w:val="center"/>
              <w:rPr>
                <w:sz w:val="16"/>
                <w:szCs w:val="16"/>
              </w:rPr>
            </w:pPr>
            <w:r>
              <w:rPr>
                <w:rFonts w:ascii="Calibri" w:eastAsia="Calibri" w:hAnsi="Calibri" w:cs="Calibri"/>
                <w:sz w:val="16"/>
                <w:szCs w:val="16"/>
              </w:rPr>
              <w:t>počet vydaných titulů na 1 000 obyvatel</w:t>
            </w:r>
          </w:p>
        </w:tc>
      </w:tr>
      <w:tr w:rsidR="00845B18" w14:paraId="0147E9DE" w14:textId="77777777">
        <w:tblPrEx>
          <w:tblCellMar>
            <w:top w:w="0" w:type="dxa"/>
            <w:bottom w:w="0" w:type="dxa"/>
          </w:tblCellMar>
        </w:tblPrEx>
        <w:trPr>
          <w:trHeight w:hRule="exact" w:val="230"/>
        </w:trPr>
        <w:tc>
          <w:tcPr>
            <w:tcW w:w="1886" w:type="dxa"/>
            <w:tcBorders>
              <w:top w:val="single" w:sz="4" w:space="0" w:color="auto"/>
            </w:tcBorders>
            <w:shd w:val="clear" w:color="auto" w:fill="FFFFFF"/>
            <w:vAlign w:val="bottom"/>
          </w:tcPr>
          <w:p w14:paraId="51371258" w14:textId="77777777" w:rsidR="00845B18" w:rsidRDefault="00000000">
            <w:pPr>
              <w:pStyle w:val="Jin0"/>
              <w:framePr w:w="5126" w:h="2712" w:wrap="none" w:vAnchor="page" w:hAnchor="page" w:x="1902" w:y="8290"/>
              <w:shd w:val="clear" w:color="auto" w:fill="auto"/>
              <w:spacing w:after="0" w:line="240" w:lineRule="auto"/>
              <w:jc w:val="left"/>
              <w:rPr>
                <w:sz w:val="16"/>
                <w:szCs w:val="16"/>
              </w:rPr>
            </w:pPr>
            <w:r>
              <w:rPr>
                <w:rFonts w:ascii="Calibri" w:eastAsia="Calibri" w:hAnsi="Calibri" w:cs="Calibri"/>
                <w:sz w:val="16"/>
                <w:szCs w:val="16"/>
              </w:rPr>
              <w:t>USA</w:t>
            </w:r>
          </w:p>
        </w:tc>
        <w:tc>
          <w:tcPr>
            <w:tcW w:w="1608" w:type="dxa"/>
            <w:tcBorders>
              <w:top w:val="single" w:sz="4" w:space="0" w:color="auto"/>
              <w:left w:val="single" w:sz="4" w:space="0" w:color="auto"/>
            </w:tcBorders>
            <w:shd w:val="clear" w:color="auto" w:fill="FFFFFF"/>
            <w:vAlign w:val="bottom"/>
          </w:tcPr>
          <w:p w14:paraId="48C7A292" w14:textId="77777777" w:rsidR="00845B18" w:rsidRDefault="00000000">
            <w:pPr>
              <w:pStyle w:val="Jin0"/>
              <w:framePr w:w="5126" w:h="2712" w:wrap="none" w:vAnchor="page" w:hAnchor="page" w:x="1902" w:y="8290"/>
              <w:shd w:val="clear" w:color="auto" w:fill="auto"/>
              <w:spacing w:after="0" w:line="240" w:lineRule="auto"/>
              <w:jc w:val="center"/>
              <w:rPr>
                <w:sz w:val="16"/>
                <w:szCs w:val="16"/>
              </w:rPr>
            </w:pPr>
            <w:r>
              <w:rPr>
                <w:rFonts w:ascii="Calibri" w:eastAsia="Calibri" w:hAnsi="Calibri" w:cs="Calibri"/>
                <w:sz w:val="16"/>
                <w:szCs w:val="16"/>
              </w:rPr>
              <w:t>31</w:t>
            </w:r>
          </w:p>
        </w:tc>
        <w:tc>
          <w:tcPr>
            <w:tcW w:w="1632" w:type="dxa"/>
            <w:tcBorders>
              <w:top w:val="single" w:sz="4" w:space="0" w:color="auto"/>
              <w:left w:val="single" w:sz="4" w:space="0" w:color="auto"/>
            </w:tcBorders>
            <w:shd w:val="clear" w:color="auto" w:fill="FFFFFF"/>
            <w:vAlign w:val="bottom"/>
          </w:tcPr>
          <w:p w14:paraId="2DB48465" w14:textId="77777777" w:rsidR="00845B18" w:rsidRDefault="00000000">
            <w:pPr>
              <w:pStyle w:val="Jin0"/>
              <w:framePr w:w="5126" w:h="2712" w:wrap="none" w:vAnchor="page" w:hAnchor="page" w:x="1902" w:y="8290"/>
              <w:shd w:val="clear" w:color="auto" w:fill="auto"/>
              <w:spacing w:after="0" w:line="240" w:lineRule="auto"/>
              <w:jc w:val="center"/>
              <w:rPr>
                <w:sz w:val="16"/>
                <w:szCs w:val="16"/>
              </w:rPr>
            </w:pPr>
            <w:r>
              <w:rPr>
                <w:rFonts w:ascii="Calibri" w:eastAsia="Calibri" w:hAnsi="Calibri" w:cs="Calibri"/>
                <w:sz w:val="16"/>
                <w:szCs w:val="16"/>
              </w:rPr>
              <w:t>1,1</w:t>
            </w:r>
          </w:p>
        </w:tc>
      </w:tr>
      <w:tr w:rsidR="00845B18" w14:paraId="66A35219" w14:textId="77777777">
        <w:tblPrEx>
          <w:tblCellMar>
            <w:top w:w="0" w:type="dxa"/>
            <w:bottom w:w="0" w:type="dxa"/>
          </w:tblCellMar>
        </w:tblPrEx>
        <w:trPr>
          <w:trHeight w:hRule="exact" w:val="226"/>
        </w:trPr>
        <w:tc>
          <w:tcPr>
            <w:tcW w:w="1886" w:type="dxa"/>
            <w:tcBorders>
              <w:top w:val="single" w:sz="4" w:space="0" w:color="auto"/>
            </w:tcBorders>
            <w:shd w:val="clear" w:color="auto" w:fill="FFFFFF"/>
            <w:vAlign w:val="bottom"/>
          </w:tcPr>
          <w:p w14:paraId="3EE38E97" w14:textId="77777777" w:rsidR="00845B18" w:rsidRDefault="00000000">
            <w:pPr>
              <w:pStyle w:val="Jin0"/>
              <w:framePr w:w="5126" w:h="2712" w:wrap="none" w:vAnchor="page" w:hAnchor="page" w:x="1902" w:y="8290"/>
              <w:shd w:val="clear" w:color="auto" w:fill="auto"/>
              <w:spacing w:after="0" w:line="240" w:lineRule="auto"/>
              <w:jc w:val="left"/>
              <w:rPr>
                <w:sz w:val="16"/>
                <w:szCs w:val="16"/>
              </w:rPr>
            </w:pPr>
            <w:r>
              <w:rPr>
                <w:rFonts w:ascii="Calibri" w:eastAsia="Calibri" w:hAnsi="Calibri" w:cs="Calibri"/>
                <w:sz w:val="16"/>
                <w:szCs w:val="16"/>
              </w:rPr>
              <w:t>Čína</w:t>
            </w:r>
          </w:p>
        </w:tc>
        <w:tc>
          <w:tcPr>
            <w:tcW w:w="1608" w:type="dxa"/>
            <w:tcBorders>
              <w:top w:val="single" w:sz="4" w:space="0" w:color="auto"/>
              <w:left w:val="single" w:sz="4" w:space="0" w:color="auto"/>
            </w:tcBorders>
            <w:shd w:val="clear" w:color="auto" w:fill="FFFFFF"/>
            <w:vAlign w:val="bottom"/>
          </w:tcPr>
          <w:p w14:paraId="3AE1FF63" w14:textId="77777777" w:rsidR="00845B18" w:rsidRDefault="00000000">
            <w:pPr>
              <w:pStyle w:val="Jin0"/>
              <w:framePr w:w="5126" w:h="2712" w:wrap="none" w:vAnchor="page" w:hAnchor="page" w:x="1902" w:y="8290"/>
              <w:shd w:val="clear" w:color="auto" w:fill="auto"/>
              <w:spacing w:after="0" w:line="240" w:lineRule="auto"/>
              <w:jc w:val="center"/>
              <w:rPr>
                <w:sz w:val="16"/>
                <w:szCs w:val="16"/>
              </w:rPr>
            </w:pPr>
            <w:r>
              <w:rPr>
                <w:rFonts w:ascii="Calibri" w:eastAsia="Calibri" w:hAnsi="Calibri" w:cs="Calibri"/>
                <w:sz w:val="16"/>
                <w:szCs w:val="16"/>
              </w:rPr>
              <w:t>10,6</w:t>
            </w:r>
          </w:p>
        </w:tc>
        <w:tc>
          <w:tcPr>
            <w:tcW w:w="1632" w:type="dxa"/>
            <w:tcBorders>
              <w:top w:val="single" w:sz="4" w:space="0" w:color="auto"/>
              <w:left w:val="single" w:sz="4" w:space="0" w:color="auto"/>
            </w:tcBorders>
            <w:shd w:val="clear" w:color="auto" w:fill="FFFFFF"/>
            <w:vAlign w:val="bottom"/>
          </w:tcPr>
          <w:p w14:paraId="0B0F57AE" w14:textId="77777777" w:rsidR="00845B18" w:rsidRDefault="00000000">
            <w:pPr>
              <w:pStyle w:val="Jin0"/>
              <w:framePr w:w="5126" w:h="2712" w:wrap="none" w:vAnchor="page" w:hAnchor="page" w:x="1902" w:y="8290"/>
              <w:shd w:val="clear" w:color="auto" w:fill="auto"/>
              <w:spacing w:after="0" w:line="240" w:lineRule="auto"/>
              <w:jc w:val="center"/>
              <w:rPr>
                <w:sz w:val="16"/>
                <w:szCs w:val="16"/>
              </w:rPr>
            </w:pPr>
            <w:r>
              <w:rPr>
                <w:rFonts w:ascii="Calibri" w:eastAsia="Calibri" w:hAnsi="Calibri" w:cs="Calibri"/>
                <w:sz w:val="16"/>
                <w:szCs w:val="16"/>
              </w:rPr>
              <w:t>0,3</w:t>
            </w:r>
          </w:p>
        </w:tc>
      </w:tr>
      <w:tr w:rsidR="00845B18" w14:paraId="5355E2A2" w14:textId="77777777">
        <w:tblPrEx>
          <w:tblCellMar>
            <w:top w:w="0" w:type="dxa"/>
            <w:bottom w:w="0" w:type="dxa"/>
          </w:tblCellMar>
        </w:tblPrEx>
        <w:trPr>
          <w:trHeight w:hRule="exact" w:val="230"/>
        </w:trPr>
        <w:tc>
          <w:tcPr>
            <w:tcW w:w="1886" w:type="dxa"/>
            <w:shd w:val="clear" w:color="auto" w:fill="FFFFFF"/>
            <w:vAlign w:val="bottom"/>
          </w:tcPr>
          <w:p w14:paraId="22918983" w14:textId="77777777" w:rsidR="00845B18" w:rsidRDefault="00000000">
            <w:pPr>
              <w:pStyle w:val="Jin0"/>
              <w:framePr w:w="5126" w:h="2712" w:wrap="none" w:vAnchor="page" w:hAnchor="page" w:x="1902" w:y="8290"/>
              <w:shd w:val="clear" w:color="auto" w:fill="auto"/>
              <w:spacing w:after="0" w:line="240" w:lineRule="auto"/>
              <w:jc w:val="left"/>
              <w:rPr>
                <w:sz w:val="16"/>
                <w:szCs w:val="16"/>
              </w:rPr>
            </w:pPr>
            <w:r>
              <w:rPr>
                <w:rFonts w:ascii="Calibri" w:eastAsia="Calibri" w:hAnsi="Calibri" w:cs="Calibri"/>
                <w:sz w:val="16"/>
                <w:szCs w:val="16"/>
              </w:rPr>
              <w:t>Německo</w:t>
            </w:r>
          </w:p>
        </w:tc>
        <w:tc>
          <w:tcPr>
            <w:tcW w:w="1608" w:type="dxa"/>
            <w:tcBorders>
              <w:top w:val="single" w:sz="4" w:space="0" w:color="auto"/>
              <w:left w:val="single" w:sz="4" w:space="0" w:color="auto"/>
            </w:tcBorders>
            <w:shd w:val="clear" w:color="auto" w:fill="FFFFFF"/>
            <w:vAlign w:val="bottom"/>
          </w:tcPr>
          <w:p w14:paraId="445526CE" w14:textId="77777777" w:rsidR="00845B18" w:rsidRDefault="00000000">
            <w:pPr>
              <w:pStyle w:val="Jin0"/>
              <w:framePr w:w="5126" w:h="2712" w:wrap="none" w:vAnchor="page" w:hAnchor="page" w:x="1902" w:y="8290"/>
              <w:shd w:val="clear" w:color="auto" w:fill="auto"/>
              <w:spacing w:after="0" w:line="240" w:lineRule="auto"/>
              <w:jc w:val="center"/>
              <w:rPr>
                <w:sz w:val="16"/>
                <w:szCs w:val="16"/>
              </w:rPr>
            </w:pPr>
            <w:r>
              <w:rPr>
                <w:rFonts w:ascii="Calibri" w:eastAsia="Calibri" w:hAnsi="Calibri" w:cs="Calibri"/>
                <w:sz w:val="16"/>
                <w:szCs w:val="16"/>
              </w:rPr>
              <w:t>9,7</w:t>
            </w:r>
          </w:p>
        </w:tc>
        <w:tc>
          <w:tcPr>
            <w:tcW w:w="1632" w:type="dxa"/>
            <w:tcBorders>
              <w:top w:val="single" w:sz="4" w:space="0" w:color="auto"/>
              <w:left w:val="single" w:sz="4" w:space="0" w:color="auto"/>
            </w:tcBorders>
            <w:shd w:val="clear" w:color="auto" w:fill="FFFFFF"/>
            <w:vAlign w:val="bottom"/>
          </w:tcPr>
          <w:p w14:paraId="11BE79DE" w14:textId="77777777" w:rsidR="00845B18" w:rsidRDefault="00000000">
            <w:pPr>
              <w:pStyle w:val="Jin0"/>
              <w:framePr w:w="5126" w:h="2712" w:wrap="none" w:vAnchor="page" w:hAnchor="page" w:x="1902" w:y="8290"/>
              <w:shd w:val="clear" w:color="auto" w:fill="auto"/>
              <w:spacing w:after="0" w:line="240" w:lineRule="auto"/>
              <w:jc w:val="center"/>
              <w:rPr>
                <w:sz w:val="16"/>
                <w:szCs w:val="16"/>
              </w:rPr>
            </w:pPr>
            <w:r>
              <w:rPr>
                <w:rFonts w:ascii="Calibri" w:eastAsia="Calibri" w:hAnsi="Calibri" w:cs="Calibri"/>
                <w:sz w:val="16"/>
                <w:szCs w:val="16"/>
              </w:rPr>
              <w:t>1,2</w:t>
            </w:r>
          </w:p>
        </w:tc>
      </w:tr>
      <w:tr w:rsidR="00845B18" w14:paraId="4FECFE2A" w14:textId="77777777">
        <w:tblPrEx>
          <w:tblCellMar>
            <w:top w:w="0" w:type="dxa"/>
            <w:bottom w:w="0" w:type="dxa"/>
          </w:tblCellMar>
        </w:tblPrEx>
        <w:trPr>
          <w:trHeight w:hRule="exact" w:val="226"/>
        </w:trPr>
        <w:tc>
          <w:tcPr>
            <w:tcW w:w="1886" w:type="dxa"/>
            <w:shd w:val="clear" w:color="auto" w:fill="FFFFFF"/>
            <w:vAlign w:val="bottom"/>
          </w:tcPr>
          <w:p w14:paraId="20E44868" w14:textId="77777777" w:rsidR="00845B18" w:rsidRDefault="00000000">
            <w:pPr>
              <w:pStyle w:val="Jin0"/>
              <w:framePr w:w="5126" w:h="2712" w:wrap="none" w:vAnchor="page" w:hAnchor="page" w:x="1902" w:y="8290"/>
              <w:shd w:val="clear" w:color="auto" w:fill="auto"/>
              <w:spacing w:after="0" w:line="240" w:lineRule="auto"/>
              <w:jc w:val="left"/>
              <w:rPr>
                <w:sz w:val="16"/>
                <w:szCs w:val="16"/>
              </w:rPr>
            </w:pPr>
            <w:r>
              <w:rPr>
                <w:rFonts w:ascii="Calibri" w:eastAsia="Calibri" w:hAnsi="Calibri" w:cs="Calibri"/>
                <w:sz w:val="16"/>
                <w:szCs w:val="16"/>
              </w:rPr>
              <w:t>Japonsko</w:t>
            </w:r>
          </w:p>
        </w:tc>
        <w:tc>
          <w:tcPr>
            <w:tcW w:w="1608" w:type="dxa"/>
            <w:tcBorders>
              <w:top w:val="single" w:sz="4" w:space="0" w:color="auto"/>
              <w:left w:val="single" w:sz="4" w:space="0" w:color="auto"/>
            </w:tcBorders>
            <w:shd w:val="clear" w:color="auto" w:fill="FFFFFF"/>
            <w:vAlign w:val="bottom"/>
          </w:tcPr>
          <w:p w14:paraId="70BA724E" w14:textId="77777777" w:rsidR="00845B18" w:rsidRDefault="00000000">
            <w:pPr>
              <w:pStyle w:val="Jin0"/>
              <w:framePr w:w="5126" w:h="2712" w:wrap="none" w:vAnchor="page" w:hAnchor="page" w:x="1902" w:y="8290"/>
              <w:shd w:val="clear" w:color="auto" w:fill="auto"/>
              <w:spacing w:after="0" w:line="240" w:lineRule="auto"/>
              <w:jc w:val="center"/>
              <w:rPr>
                <w:sz w:val="16"/>
                <w:szCs w:val="16"/>
              </w:rPr>
            </w:pPr>
            <w:r>
              <w:rPr>
                <w:rFonts w:ascii="Calibri" w:eastAsia="Calibri" w:hAnsi="Calibri" w:cs="Calibri"/>
                <w:sz w:val="16"/>
                <w:szCs w:val="16"/>
              </w:rPr>
              <w:t>7,3</w:t>
            </w:r>
          </w:p>
        </w:tc>
        <w:tc>
          <w:tcPr>
            <w:tcW w:w="1632" w:type="dxa"/>
            <w:tcBorders>
              <w:top w:val="single" w:sz="4" w:space="0" w:color="auto"/>
              <w:left w:val="single" w:sz="4" w:space="0" w:color="auto"/>
            </w:tcBorders>
            <w:shd w:val="clear" w:color="auto" w:fill="FFFFFF"/>
            <w:vAlign w:val="center"/>
          </w:tcPr>
          <w:p w14:paraId="3BC000D7" w14:textId="77777777" w:rsidR="00845B18" w:rsidRDefault="00000000">
            <w:pPr>
              <w:pStyle w:val="Jin0"/>
              <w:framePr w:w="5126" w:h="2712" w:wrap="none" w:vAnchor="page" w:hAnchor="page" w:x="1902" w:y="8290"/>
              <w:shd w:val="clear" w:color="auto" w:fill="auto"/>
              <w:spacing w:after="0" w:line="240" w:lineRule="auto"/>
              <w:jc w:val="center"/>
              <w:rPr>
                <w:sz w:val="16"/>
                <w:szCs w:val="16"/>
              </w:rPr>
            </w:pPr>
            <w:r>
              <w:rPr>
                <w:rFonts w:ascii="Calibri" w:eastAsia="Calibri" w:hAnsi="Calibri" w:cs="Calibri"/>
                <w:sz w:val="16"/>
                <w:szCs w:val="16"/>
              </w:rPr>
              <w:t>—</w:t>
            </w:r>
          </w:p>
        </w:tc>
      </w:tr>
      <w:tr w:rsidR="00845B18" w14:paraId="547A39DB" w14:textId="77777777">
        <w:tblPrEx>
          <w:tblCellMar>
            <w:top w:w="0" w:type="dxa"/>
            <w:bottom w:w="0" w:type="dxa"/>
          </w:tblCellMar>
        </w:tblPrEx>
        <w:trPr>
          <w:trHeight w:hRule="exact" w:val="226"/>
        </w:trPr>
        <w:tc>
          <w:tcPr>
            <w:tcW w:w="1886" w:type="dxa"/>
            <w:shd w:val="clear" w:color="auto" w:fill="FFFFFF"/>
            <w:vAlign w:val="bottom"/>
          </w:tcPr>
          <w:p w14:paraId="51DF64BA" w14:textId="77777777" w:rsidR="00845B18" w:rsidRDefault="00000000">
            <w:pPr>
              <w:pStyle w:val="Jin0"/>
              <w:framePr w:w="5126" w:h="2712" w:wrap="none" w:vAnchor="page" w:hAnchor="page" w:x="1902" w:y="8290"/>
              <w:shd w:val="clear" w:color="auto" w:fill="auto"/>
              <w:spacing w:after="0" w:line="240" w:lineRule="auto"/>
              <w:jc w:val="left"/>
              <w:rPr>
                <w:sz w:val="16"/>
                <w:szCs w:val="16"/>
              </w:rPr>
            </w:pPr>
            <w:r>
              <w:rPr>
                <w:rFonts w:ascii="Calibri" w:eastAsia="Calibri" w:hAnsi="Calibri" w:cs="Calibri"/>
                <w:sz w:val="16"/>
                <w:szCs w:val="16"/>
              </w:rPr>
              <w:t>Francie</w:t>
            </w:r>
          </w:p>
        </w:tc>
        <w:tc>
          <w:tcPr>
            <w:tcW w:w="1608" w:type="dxa"/>
            <w:tcBorders>
              <w:top w:val="single" w:sz="4" w:space="0" w:color="auto"/>
              <w:left w:val="single" w:sz="4" w:space="0" w:color="auto"/>
            </w:tcBorders>
            <w:shd w:val="clear" w:color="auto" w:fill="FFFFFF"/>
            <w:vAlign w:val="bottom"/>
          </w:tcPr>
          <w:p w14:paraId="02281AC0" w14:textId="77777777" w:rsidR="00845B18" w:rsidRDefault="00000000">
            <w:pPr>
              <w:pStyle w:val="Jin0"/>
              <w:framePr w:w="5126" w:h="2712" w:wrap="none" w:vAnchor="page" w:hAnchor="page" w:x="1902" w:y="8290"/>
              <w:shd w:val="clear" w:color="auto" w:fill="auto"/>
              <w:spacing w:after="0" w:line="240" w:lineRule="auto"/>
              <w:jc w:val="center"/>
              <w:rPr>
                <w:sz w:val="16"/>
                <w:szCs w:val="16"/>
              </w:rPr>
            </w:pPr>
            <w:r>
              <w:rPr>
                <w:rFonts w:ascii="Calibri" w:eastAsia="Calibri" w:hAnsi="Calibri" w:cs="Calibri"/>
                <w:sz w:val="16"/>
                <w:szCs w:val="16"/>
              </w:rPr>
              <w:t>4,6</w:t>
            </w:r>
          </w:p>
        </w:tc>
        <w:tc>
          <w:tcPr>
            <w:tcW w:w="1632" w:type="dxa"/>
            <w:tcBorders>
              <w:top w:val="single" w:sz="4" w:space="0" w:color="auto"/>
              <w:left w:val="single" w:sz="4" w:space="0" w:color="auto"/>
            </w:tcBorders>
            <w:shd w:val="clear" w:color="auto" w:fill="FFFFFF"/>
            <w:vAlign w:val="bottom"/>
          </w:tcPr>
          <w:p w14:paraId="5796EFCC" w14:textId="77777777" w:rsidR="00845B18" w:rsidRDefault="00000000">
            <w:pPr>
              <w:pStyle w:val="Jin0"/>
              <w:framePr w:w="5126" w:h="2712" w:wrap="none" w:vAnchor="page" w:hAnchor="page" w:x="1902" w:y="8290"/>
              <w:shd w:val="clear" w:color="auto" w:fill="auto"/>
              <w:spacing w:after="0" w:line="240" w:lineRule="auto"/>
              <w:jc w:val="center"/>
              <w:rPr>
                <w:sz w:val="16"/>
                <w:szCs w:val="16"/>
              </w:rPr>
            </w:pPr>
            <w:r>
              <w:rPr>
                <w:rFonts w:ascii="Calibri" w:eastAsia="Calibri" w:hAnsi="Calibri" w:cs="Calibri"/>
                <w:sz w:val="16"/>
                <w:szCs w:val="16"/>
              </w:rPr>
              <w:t>1,2</w:t>
            </w:r>
          </w:p>
        </w:tc>
      </w:tr>
      <w:tr w:rsidR="00845B18" w14:paraId="1920713F" w14:textId="77777777">
        <w:tblPrEx>
          <w:tblCellMar>
            <w:top w:w="0" w:type="dxa"/>
            <w:bottom w:w="0" w:type="dxa"/>
          </w:tblCellMar>
        </w:tblPrEx>
        <w:trPr>
          <w:trHeight w:hRule="exact" w:val="230"/>
        </w:trPr>
        <w:tc>
          <w:tcPr>
            <w:tcW w:w="1886" w:type="dxa"/>
            <w:shd w:val="clear" w:color="auto" w:fill="FFFFFF"/>
            <w:vAlign w:val="bottom"/>
          </w:tcPr>
          <w:p w14:paraId="700A61BE" w14:textId="77777777" w:rsidR="00845B18" w:rsidRDefault="00000000">
            <w:pPr>
              <w:pStyle w:val="Jin0"/>
              <w:framePr w:w="5126" w:h="2712" w:wrap="none" w:vAnchor="page" w:hAnchor="page" w:x="1902" w:y="8290"/>
              <w:shd w:val="clear" w:color="auto" w:fill="auto"/>
              <w:spacing w:after="0" w:line="240" w:lineRule="auto"/>
              <w:jc w:val="left"/>
              <w:rPr>
                <w:sz w:val="16"/>
                <w:szCs w:val="16"/>
              </w:rPr>
            </w:pPr>
            <w:r>
              <w:rPr>
                <w:rFonts w:ascii="Calibri" w:eastAsia="Calibri" w:hAnsi="Calibri" w:cs="Calibri"/>
                <w:sz w:val="16"/>
                <w:szCs w:val="16"/>
              </w:rPr>
              <w:t>Velká Británie</w:t>
            </w:r>
          </w:p>
        </w:tc>
        <w:tc>
          <w:tcPr>
            <w:tcW w:w="1608" w:type="dxa"/>
            <w:tcBorders>
              <w:top w:val="single" w:sz="4" w:space="0" w:color="auto"/>
              <w:left w:val="single" w:sz="4" w:space="0" w:color="auto"/>
            </w:tcBorders>
            <w:shd w:val="clear" w:color="auto" w:fill="FFFFFF"/>
            <w:vAlign w:val="bottom"/>
          </w:tcPr>
          <w:p w14:paraId="5954B866" w14:textId="77777777" w:rsidR="00845B18" w:rsidRDefault="00000000">
            <w:pPr>
              <w:pStyle w:val="Jin0"/>
              <w:framePr w:w="5126" w:h="2712" w:wrap="none" w:vAnchor="page" w:hAnchor="page" w:x="1902" w:y="8290"/>
              <w:shd w:val="clear" w:color="auto" w:fill="auto"/>
              <w:spacing w:after="0" w:line="240" w:lineRule="auto"/>
              <w:jc w:val="center"/>
              <w:rPr>
                <w:sz w:val="16"/>
                <w:szCs w:val="16"/>
              </w:rPr>
            </w:pPr>
            <w:r>
              <w:rPr>
                <w:rFonts w:ascii="Calibri" w:eastAsia="Calibri" w:hAnsi="Calibri" w:cs="Calibri"/>
                <w:sz w:val="16"/>
                <w:szCs w:val="16"/>
              </w:rPr>
              <w:t>4,1</w:t>
            </w:r>
          </w:p>
        </w:tc>
        <w:tc>
          <w:tcPr>
            <w:tcW w:w="1632" w:type="dxa"/>
            <w:tcBorders>
              <w:top w:val="single" w:sz="4" w:space="0" w:color="auto"/>
              <w:left w:val="single" w:sz="4" w:space="0" w:color="auto"/>
            </w:tcBorders>
            <w:shd w:val="clear" w:color="auto" w:fill="FFFFFF"/>
            <w:vAlign w:val="bottom"/>
          </w:tcPr>
          <w:p w14:paraId="2232FCFE" w14:textId="77777777" w:rsidR="00845B18" w:rsidRDefault="00000000">
            <w:pPr>
              <w:pStyle w:val="Jin0"/>
              <w:framePr w:w="5126" w:h="2712" w:wrap="none" w:vAnchor="page" w:hAnchor="page" w:x="1902" w:y="8290"/>
              <w:shd w:val="clear" w:color="auto" w:fill="auto"/>
              <w:spacing w:after="0" w:line="240" w:lineRule="auto"/>
              <w:jc w:val="center"/>
              <w:rPr>
                <w:sz w:val="16"/>
                <w:szCs w:val="16"/>
              </w:rPr>
            </w:pPr>
            <w:r>
              <w:rPr>
                <w:rFonts w:ascii="Calibri" w:eastAsia="Calibri" w:hAnsi="Calibri" w:cs="Calibri"/>
                <w:sz w:val="16"/>
                <w:szCs w:val="16"/>
              </w:rPr>
              <w:t>2,5</w:t>
            </w:r>
          </w:p>
        </w:tc>
      </w:tr>
      <w:tr w:rsidR="00845B18" w14:paraId="0EA3B864" w14:textId="77777777">
        <w:tblPrEx>
          <w:tblCellMar>
            <w:top w:w="0" w:type="dxa"/>
            <w:bottom w:w="0" w:type="dxa"/>
          </w:tblCellMar>
        </w:tblPrEx>
        <w:trPr>
          <w:trHeight w:hRule="exact" w:val="226"/>
        </w:trPr>
        <w:tc>
          <w:tcPr>
            <w:tcW w:w="1886" w:type="dxa"/>
            <w:tcBorders>
              <w:top w:val="single" w:sz="4" w:space="0" w:color="auto"/>
            </w:tcBorders>
            <w:shd w:val="clear" w:color="auto" w:fill="FFFFFF"/>
            <w:vAlign w:val="bottom"/>
          </w:tcPr>
          <w:p w14:paraId="0CA5309E" w14:textId="77777777" w:rsidR="00845B18" w:rsidRDefault="00000000">
            <w:pPr>
              <w:pStyle w:val="Jin0"/>
              <w:framePr w:w="5126" w:h="2712" w:wrap="none" w:vAnchor="page" w:hAnchor="page" w:x="1902" w:y="8290"/>
              <w:shd w:val="clear" w:color="auto" w:fill="auto"/>
              <w:spacing w:after="0" w:line="240" w:lineRule="auto"/>
              <w:jc w:val="left"/>
              <w:rPr>
                <w:sz w:val="16"/>
                <w:szCs w:val="16"/>
              </w:rPr>
            </w:pPr>
            <w:r>
              <w:rPr>
                <w:rFonts w:ascii="Calibri" w:eastAsia="Calibri" w:hAnsi="Calibri" w:cs="Calibri"/>
                <w:sz w:val="16"/>
                <w:szCs w:val="16"/>
              </w:rPr>
              <w:t>Itálie</w:t>
            </w:r>
          </w:p>
        </w:tc>
        <w:tc>
          <w:tcPr>
            <w:tcW w:w="1608" w:type="dxa"/>
            <w:tcBorders>
              <w:top w:val="single" w:sz="4" w:space="0" w:color="auto"/>
              <w:left w:val="single" w:sz="4" w:space="0" w:color="auto"/>
            </w:tcBorders>
            <w:shd w:val="clear" w:color="auto" w:fill="FFFFFF"/>
            <w:vAlign w:val="bottom"/>
          </w:tcPr>
          <w:p w14:paraId="3846CFC0" w14:textId="77777777" w:rsidR="00845B18" w:rsidRDefault="00000000">
            <w:pPr>
              <w:pStyle w:val="Jin0"/>
              <w:framePr w:w="5126" w:h="2712" w:wrap="none" w:vAnchor="page" w:hAnchor="page" w:x="1902" w:y="8290"/>
              <w:shd w:val="clear" w:color="auto" w:fill="auto"/>
              <w:spacing w:after="0" w:line="240" w:lineRule="auto"/>
              <w:jc w:val="center"/>
              <w:rPr>
                <w:sz w:val="16"/>
                <w:szCs w:val="16"/>
              </w:rPr>
            </w:pPr>
            <w:r>
              <w:rPr>
                <w:rFonts w:ascii="Calibri" w:eastAsia="Calibri" w:hAnsi="Calibri" w:cs="Calibri"/>
                <w:sz w:val="16"/>
                <w:szCs w:val="16"/>
              </w:rPr>
              <w:t>3,4</w:t>
            </w:r>
          </w:p>
        </w:tc>
        <w:tc>
          <w:tcPr>
            <w:tcW w:w="1632" w:type="dxa"/>
            <w:tcBorders>
              <w:top w:val="single" w:sz="4" w:space="0" w:color="auto"/>
              <w:left w:val="single" w:sz="4" w:space="0" w:color="auto"/>
            </w:tcBorders>
            <w:shd w:val="clear" w:color="auto" w:fill="FFFFFF"/>
            <w:vAlign w:val="bottom"/>
          </w:tcPr>
          <w:p w14:paraId="0F9CD4FD" w14:textId="77777777" w:rsidR="00845B18" w:rsidRDefault="00000000">
            <w:pPr>
              <w:pStyle w:val="Jin0"/>
              <w:framePr w:w="5126" w:h="2712" w:wrap="none" w:vAnchor="page" w:hAnchor="page" w:x="1902" w:y="8290"/>
              <w:shd w:val="clear" w:color="auto" w:fill="auto"/>
              <w:spacing w:after="0" w:line="240" w:lineRule="auto"/>
              <w:jc w:val="center"/>
              <w:rPr>
                <w:sz w:val="16"/>
                <w:szCs w:val="16"/>
              </w:rPr>
            </w:pPr>
            <w:r>
              <w:rPr>
                <w:rFonts w:ascii="Calibri" w:eastAsia="Calibri" w:hAnsi="Calibri" w:cs="Calibri"/>
                <w:sz w:val="16"/>
                <w:szCs w:val="16"/>
              </w:rPr>
              <w:t>1,0</w:t>
            </w:r>
          </w:p>
        </w:tc>
      </w:tr>
      <w:tr w:rsidR="00845B18" w14:paraId="029C2BCF" w14:textId="77777777">
        <w:tblPrEx>
          <w:tblCellMar>
            <w:top w:w="0" w:type="dxa"/>
            <w:bottom w:w="0" w:type="dxa"/>
          </w:tblCellMar>
        </w:tblPrEx>
        <w:trPr>
          <w:trHeight w:hRule="exact" w:val="226"/>
        </w:trPr>
        <w:tc>
          <w:tcPr>
            <w:tcW w:w="1886" w:type="dxa"/>
            <w:shd w:val="clear" w:color="auto" w:fill="FFFFFF"/>
            <w:vAlign w:val="bottom"/>
          </w:tcPr>
          <w:p w14:paraId="39E59CEF" w14:textId="77777777" w:rsidR="00845B18" w:rsidRDefault="00000000">
            <w:pPr>
              <w:pStyle w:val="Jin0"/>
              <w:framePr w:w="5126" w:h="2712" w:wrap="none" w:vAnchor="page" w:hAnchor="page" w:x="1902" w:y="8290"/>
              <w:shd w:val="clear" w:color="auto" w:fill="auto"/>
              <w:spacing w:after="0" w:line="240" w:lineRule="auto"/>
              <w:jc w:val="left"/>
              <w:rPr>
                <w:sz w:val="16"/>
                <w:szCs w:val="16"/>
              </w:rPr>
            </w:pPr>
            <w:r>
              <w:rPr>
                <w:rFonts w:ascii="Calibri" w:eastAsia="Calibri" w:hAnsi="Calibri" w:cs="Calibri"/>
                <w:sz w:val="16"/>
                <w:szCs w:val="16"/>
              </w:rPr>
              <w:t>Španělsko</w:t>
            </w:r>
          </w:p>
        </w:tc>
        <w:tc>
          <w:tcPr>
            <w:tcW w:w="1608" w:type="dxa"/>
            <w:tcBorders>
              <w:top w:val="single" w:sz="4" w:space="0" w:color="auto"/>
              <w:left w:val="single" w:sz="4" w:space="0" w:color="auto"/>
            </w:tcBorders>
            <w:shd w:val="clear" w:color="auto" w:fill="FFFFFF"/>
            <w:vAlign w:val="bottom"/>
          </w:tcPr>
          <w:p w14:paraId="38C2570A" w14:textId="77777777" w:rsidR="00845B18" w:rsidRDefault="00000000">
            <w:pPr>
              <w:pStyle w:val="Jin0"/>
              <w:framePr w:w="5126" w:h="2712" w:wrap="none" w:vAnchor="page" w:hAnchor="page" w:x="1902" w:y="8290"/>
              <w:shd w:val="clear" w:color="auto" w:fill="auto"/>
              <w:spacing w:after="0" w:line="240" w:lineRule="auto"/>
              <w:jc w:val="center"/>
              <w:rPr>
                <w:sz w:val="16"/>
                <w:szCs w:val="16"/>
              </w:rPr>
            </w:pPr>
            <w:r>
              <w:rPr>
                <w:rFonts w:ascii="Calibri" w:eastAsia="Calibri" w:hAnsi="Calibri" w:cs="Calibri"/>
                <w:sz w:val="16"/>
                <w:szCs w:val="16"/>
              </w:rPr>
              <w:t>2,9</w:t>
            </w:r>
          </w:p>
        </w:tc>
        <w:tc>
          <w:tcPr>
            <w:tcW w:w="1632" w:type="dxa"/>
            <w:tcBorders>
              <w:top w:val="single" w:sz="4" w:space="0" w:color="auto"/>
              <w:left w:val="single" w:sz="4" w:space="0" w:color="auto"/>
            </w:tcBorders>
            <w:shd w:val="clear" w:color="auto" w:fill="FFFFFF"/>
            <w:vAlign w:val="bottom"/>
          </w:tcPr>
          <w:p w14:paraId="1291E8C9" w14:textId="77777777" w:rsidR="00845B18" w:rsidRDefault="00000000">
            <w:pPr>
              <w:pStyle w:val="Jin0"/>
              <w:framePr w:w="5126" w:h="2712" w:wrap="none" w:vAnchor="page" w:hAnchor="page" w:x="1902" w:y="8290"/>
              <w:shd w:val="clear" w:color="auto" w:fill="auto"/>
              <w:spacing w:after="0" w:line="240" w:lineRule="auto"/>
              <w:jc w:val="center"/>
              <w:rPr>
                <w:sz w:val="16"/>
                <w:szCs w:val="16"/>
              </w:rPr>
            </w:pPr>
            <w:r>
              <w:rPr>
                <w:rFonts w:ascii="Calibri" w:eastAsia="Calibri" w:hAnsi="Calibri" w:cs="Calibri"/>
                <w:sz w:val="16"/>
                <w:szCs w:val="16"/>
              </w:rPr>
              <w:t>1,7</w:t>
            </w:r>
          </w:p>
        </w:tc>
      </w:tr>
      <w:tr w:rsidR="00845B18" w14:paraId="0663D7EC" w14:textId="77777777">
        <w:tblPrEx>
          <w:tblCellMar>
            <w:top w:w="0" w:type="dxa"/>
            <w:bottom w:w="0" w:type="dxa"/>
          </w:tblCellMar>
        </w:tblPrEx>
        <w:trPr>
          <w:trHeight w:hRule="exact" w:val="221"/>
        </w:trPr>
        <w:tc>
          <w:tcPr>
            <w:tcW w:w="1886" w:type="dxa"/>
            <w:shd w:val="clear" w:color="auto" w:fill="FFFFFF"/>
            <w:vAlign w:val="bottom"/>
          </w:tcPr>
          <w:p w14:paraId="3C494DEF" w14:textId="77777777" w:rsidR="00845B18" w:rsidRDefault="00000000">
            <w:pPr>
              <w:pStyle w:val="Jin0"/>
              <w:framePr w:w="5126" w:h="2712" w:wrap="none" w:vAnchor="page" w:hAnchor="page" w:x="1902" w:y="8290"/>
              <w:shd w:val="clear" w:color="auto" w:fill="auto"/>
              <w:spacing w:after="0" w:line="240" w:lineRule="auto"/>
              <w:jc w:val="left"/>
              <w:rPr>
                <w:sz w:val="16"/>
                <w:szCs w:val="16"/>
              </w:rPr>
            </w:pPr>
            <w:r>
              <w:rPr>
                <w:rFonts w:ascii="Calibri" w:eastAsia="Calibri" w:hAnsi="Calibri" w:cs="Calibri"/>
                <w:sz w:val="16"/>
                <w:szCs w:val="16"/>
              </w:rPr>
              <w:t>Brazílie</w:t>
            </w:r>
          </w:p>
        </w:tc>
        <w:tc>
          <w:tcPr>
            <w:tcW w:w="1608" w:type="dxa"/>
            <w:tcBorders>
              <w:top w:val="single" w:sz="4" w:space="0" w:color="auto"/>
              <w:left w:val="single" w:sz="4" w:space="0" w:color="auto"/>
            </w:tcBorders>
            <w:shd w:val="clear" w:color="auto" w:fill="FFFFFF"/>
            <w:vAlign w:val="bottom"/>
          </w:tcPr>
          <w:p w14:paraId="633FAA55" w14:textId="77777777" w:rsidR="00845B18" w:rsidRDefault="00000000">
            <w:pPr>
              <w:pStyle w:val="Jin0"/>
              <w:framePr w:w="5126" w:h="2712" w:wrap="none" w:vAnchor="page" w:hAnchor="page" w:x="1902" w:y="8290"/>
              <w:shd w:val="clear" w:color="auto" w:fill="auto"/>
              <w:spacing w:after="0" w:line="240" w:lineRule="auto"/>
              <w:jc w:val="center"/>
              <w:rPr>
                <w:sz w:val="16"/>
                <w:szCs w:val="16"/>
              </w:rPr>
            </w:pPr>
            <w:r>
              <w:rPr>
                <w:rFonts w:ascii="Calibri" w:eastAsia="Calibri" w:hAnsi="Calibri" w:cs="Calibri"/>
                <w:sz w:val="16"/>
                <w:szCs w:val="16"/>
              </w:rPr>
              <w:t>2,5</w:t>
            </w:r>
          </w:p>
        </w:tc>
        <w:tc>
          <w:tcPr>
            <w:tcW w:w="1632" w:type="dxa"/>
            <w:tcBorders>
              <w:top w:val="single" w:sz="4" w:space="0" w:color="auto"/>
              <w:left w:val="single" w:sz="4" w:space="0" w:color="auto"/>
            </w:tcBorders>
            <w:shd w:val="clear" w:color="auto" w:fill="FFFFFF"/>
            <w:vAlign w:val="bottom"/>
          </w:tcPr>
          <w:p w14:paraId="1C766DED" w14:textId="77777777" w:rsidR="00845B18" w:rsidRDefault="00000000">
            <w:pPr>
              <w:pStyle w:val="Jin0"/>
              <w:framePr w:w="5126" w:h="2712" w:wrap="none" w:vAnchor="page" w:hAnchor="page" w:x="1902" w:y="8290"/>
              <w:shd w:val="clear" w:color="auto" w:fill="auto"/>
              <w:spacing w:after="0" w:line="240" w:lineRule="auto"/>
              <w:jc w:val="center"/>
              <w:rPr>
                <w:sz w:val="16"/>
                <w:szCs w:val="16"/>
              </w:rPr>
            </w:pPr>
            <w:r>
              <w:rPr>
                <w:rFonts w:ascii="Calibri" w:eastAsia="Calibri" w:hAnsi="Calibri" w:cs="Calibri"/>
                <w:sz w:val="16"/>
                <w:szCs w:val="16"/>
              </w:rPr>
              <w:t>0,3</w:t>
            </w:r>
          </w:p>
        </w:tc>
      </w:tr>
      <w:tr w:rsidR="00845B18" w14:paraId="2E2F2DDF" w14:textId="77777777">
        <w:tblPrEx>
          <w:tblCellMar>
            <w:top w:w="0" w:type="dxa"/>
            <w:bottom w:w="0" w:type="dxa"/>
          </w:tblCellMar>
        </w:tblPrEx>
        <w:trPr>
          <w:trHeight w:hRule="exact" w:val="254"/>
        </w:trPr>
        <w:tc>
          <w:tcPr>
            <w:tcW w:w="1886" w:type="dxa"/>
            <w:tcBorders>
              <w:bottom w:val="single" w:sz="4" w:space="0" w:color="auto"/>
            </w:tcBorders>
            <w:shd w:val="clear" w:color="auto" w:fill="FFFFFF"/>
            <w:vAlign w:val="center"/>
          </w:tcPr>
          <w:p w14:paraId="3F5F1C67" w14:textId="77777777" w:rsidR="00845B18" w:rsidRDefault="00000000">
            <w:pPr>
              <w:pStyle w:val="Jin0"/>
              <w:framePr w:w="5126" w:h="2712" w:wrap="none" w:vAnchor="page" w:hAnchor="page" w:x="1902" w:y="8290"/>
              <w:shd w:val="clear" w:color="auto" w:fill="auto"/>
              <w:spacing w:after="0" w:line="240" w:lineRule="auto"/>
              <w:jc w:val="left"/>
              <w:rPr>
                <w:sz w:val="16"/>
                <w:szCs w:val="16"/>
              </w:rPr>
            </w:pPr>
            <w:r>
              <w:rPr>
                <w:rFonts w:ascii="Calibri" w:eastAsia="Calibri" w:hAnsi="Calibri" w:cs="Calibri"/>
                <w:sz w:val="16"/>
                <w:szCs w:val="16"/>
              </w:rPr>
              <w:t>Indie</w:t>
            </w:r>
          </w:p>
        </w:tc>
        <w:tc>
          <w:tcPr>
            <w:tcW w:w="1608" w:type="dxa"/>
            <w:tcBorders>
              <w:top w:val="single" w:sz="4" w:space="0" w:color="auto"/>
              <w:left w:val="single" w:sz="4" w:space="0" w:color="auto"/>
              <w:bottom w:val="single" w:sz="4" w:space="0" w:color="auto"/>
            </w:tcBorders>
            <w:shd w:val="clear" w:color="auto" w:fill="FFFFFF"/>
            <w:vAlign w:val="center"/>
          </w:tcPr>
          <w:p w14:paraId="3ED16094" w14:textId="77777777" w:rsidR="00845B18" w:rsidRDefault="00000000">
            <w:pPr>
              <w:pStyle w:val="Jin0"/>
              <w:framePr w:w="5126" w:h="2712" w:wrap="none" w:vAnchor="page" w:hAnchor="page" w:x="1902" w:y="8290"/>
              <w:shd w:val="clear" w:color="auto" w:fill="auto"/>
              <w:spacing w:after="0" w:line="240" w:lineRule="auto"/>
              <w:jc w:val="center"/>
              <w:rPr>
                <w:sz w:val="16"/>
                <w:szCs w:val="16"/>
              </w:rPr>
            </w:pPr>
            <w:r>
              <w:rPr>
                <w:rFonts w:ascii="Calibri" w:eastAsia="Calibri" w:hAnsi="Calibri" w:cs="Calibri"/>
                <w:sz w:val="16"/>
                <w:szCs w:val="16"/>
              </w:rPr>
              <w:t>2,5</w:t>
            </w:r>
          </w:p>
        </w:tc>
        <w:tc>
          <w:tcPr>
            <w:tcW w:w="1632" w:type="dxa"/>
            <w:tcBorders>
              <w:top w:val="single" w:sz="4" w:space="0" w:color="auto"/>
              <w:left w:val="single" w:sz="4" w:space="0" w:color="auto"/>
              <w:bottom w:val="single" w:sz="4" w:space="0" w:color="auto"/>
            </w:tcBorders>
            <w:shd w:val="clear" w:color="auto" w:fill="FFFFFF"/>
            <w:vAlign w:val="center"/>
          </w:tcPr>
          <w:p w14:paraId="0172DA59" w14:textId="77777777" w:rsidR="00845B18" w:rsidRDefault="00000000">
            <w:pPr>
              <w:pStyle w:val="Jin0"/>
              <w:framePr w:w="5126" w:h="2712" w:wrap="none" w:vAnchor="page" w:hAnchor="page" w:x="1902" w:y="8290"/>
              <w:shd w:val="clear" w:color="auto" w:fill="auto"/>
              <w:spacing w:after="0" w:line="240" w:lineRule="auto"/>
              <w:jc w:val="center"/>
              <w:rPr>
                <w:sz w:val="16"/>
                <w:szCs w:val="16"/>
              </w:rPr>
            </w:pPr>
            <w:r>
              <w:rPr>
                <w:rFonts w:ascii="Calibri" w:eastAsia="Calibri" w:hAnsi="Calibri" w:cs="Calibri"/>
                <w:sz w:val="16"/>
                <w:szCs w:val="16"/>
              </w:rPr>
              <w:t>—</w:t>
            </w:r>
          </w:p>
        </w:tc>
      </w:tr>
    </w:tbl>
    <w:p w14:paraId="62FF9DED" w14:textId="77777777" w:rsidR="00845B18" w:rsidRDefault="00000000">
      <w:pPr>
        <w:pStyle w:val="Titulektabulky0"/>
        <w:framePr w:w="6893" w:h="422" w:hRule="exact" w:wrap="none" w:vAnchor="page" w:hAnchor="page" w:x="1043" w:y="11290"/>
        <w:shd w:val="clear" w:color="auto" w:fill="auto"/>
        <w:spacing w:line="262" w:lineRule="auto"/>
        <w:ind w:left="220" w:hanging="220"/>
      </w:pPr>
      <w:r>
        <w:t xml:space="preserve">2) V Evropě </w:t>
      </w:r>
      <w:r>
        <w:rPr>
          <w:lang w:val="es-ES" w:eastAsia="es-ES" w:bidi="es-ES"/>
        </w:rPr>
        <w:t xml:space="preserve">je </w:t>
      </w:r>
      <w:r>
        <w:t xml:space="preserve">tento podíl </w:t>
      </w:r>
      <w:proofErr w:type="spellStart"/>
      <w:r>
        <w:rPr>
          <w:lang w:val="es-ES" w:eastAsia="es-ES" w:bidi="es-ES"/>
        </w:rPr>
        <w:t>na</w:t>
      </w:r>
      <w:proofErr w:type="spellEnd"/>
      <w:r>
        <w:rPr>
          <w:lang w:val="es-ES" w:eastAsia="es-ES" w:bidi="es-ES"/>
        </w:rPr>
        <w:t xml:space="preserve"> </w:t>
      </w:r>
      <w:r>
        <w:t>1</w:t>
      </w:r>
      <w:r>
        <w:rPr>
          <w:sz w:val="14"/>
          <w:szCs w:val="14"/>
        </w:rPr>
        <w:t xml:space="preserve">11)1’ </w:t>
      </w:r>
      <w:proofErr w:type="spellStart"/>
      <w:r>
        <w:rPr>
          <w:sz w:val="14"/>
          <w:szCs w:val="14"/>
        </w:rPr>
        <w:t>vyííl</w:t>
      </w:r>
      <w:proofErr w:type="spellEnd"/>
      <w:r>
        <w:rPr>
          <w:sz w:val="14"/>
          <w:szCs w:val="14"/>
        </w:rPr>
        <w:t xml:space="preserve">, </w:t>
      </w:r>
      <w:r>
        <w:t>v Německo až dvojnásobně (pohybuje se mezi 0,3-0,5 %), v Nizo</w:t>
      </w:r>
      <w:r>
        <w:softHyphen/>
        <w:t>zemsku kolem 0,5 %, v Itálii a Španělsku kolem 0.4 %, ve skandinávských zemích 0,3-0,4 %.</w:t>
      </w:r>
    </w:p>
    <w:p w14:paraId="035A713E" w14:textId="77777777" w:rsidR="00845B18" w:rsidRDefault="00000000">
      <w:pPr>
        <w:spacing w:line="14" w:lineRule="exact"/>
        <w:sectPr w:rsidR="00845B18">
          <w:pgSz w:w="8400" w:h="11900"/>
          <w:pgMar w:top="360" w:right="360" w:bottom="360" w:left="360" w:header="0" w:footer="3" w:gutter="0"/>
          <w:cols w:space="720"/>
          <w:noEndnote/>
          <w:docGrid w:linePitch="360"/>
        </w:sectPr>
      </w:pPr>
      <w:r>
        <w:rPr>
          <w:rFonts w:ascii="Times New Roman" w:eastAsia="Times New Roman" w:hAnsi="Times New Roman" w:cs="Times New Roman"/>
          <w:noProof/>
          <w:sz w:val="15"/>
          <w:szCs w:val="15"/>
        </w:rPr>
        <w:drawing>
          <wp:anchor distT="0" distB="0" distL="0" distR="0" simplePos="0" relativeHeight="251661312" behindDoc="1" locked="0" layoutInCell="1" allowOverlap="1" wp14:anchorId="7D5D68C4" wp14:editId="03892FE0">
            <wp:simplePos x="0" y="0"/>
            <wp:positionH relativeFrom="page">
              <wp:posOffset>975360</wp:posOffset>
            </wp:positionH>
            <wp:positionV relativeFrom="page">
              <wp:posOffset>2446655</wp:posOffset>
            </wp:positionV>
            <wp:extent cx="3742690" cy="142621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4"/>
                    <a:stretch/>
                  </pic:blipFill>
                  <pic:spPr>
                    <a:xfrm>
                      <a:off x="0" y="0"/>
                      <a:ext cx="3742690" cy="1426210"/>
                    </a:xfrm>
                    <a:prstGeom prst="rect">
                      <a:avLst/>
                    </a:prstGeom>
                  </pic:spPr>
                </pic:pic>
              </a:graphicData>
            </a:graphic>
          </wp:anchor>
        </w:drawing>
      </w:r>
    </w:p>
    <w:p w14:paraId="3FB7151D" w14:textId="77777777" w:rsidR="00845B18" w:rsidRDefault="00000000">
      <w:pPr>
        <w:spacing w:line="14" w:lineRule="exact"/>
      </w:pPr>
      <w:r>
        <w:rPr>
          <w:noProof/>
        </w:rPr>
        <w:lastRenderedPageBreak/>
        <mc:AlternateContent>
          <mc:Choice Requires="wps">
            <w:drawing>
              <wp:anchor distT="0" distB="0" distL="114300" distR="114300" simplePos="0" relativeHeight="251650048" behindDoc="1" locked="0" layoutInCell="1" allowOverlap="1" wp14:anchorId="40FE63D7" wp14:editId="7A49032C">
                <wp:simplePos x="0" y="0"/>
                <wp:positionH relativeFrom="page">
                  <wp:posOffset>283210</wp:posOffset>
                </wp:positionH>
                <wp:positionV relativeFrom="page">
                  <wp:posOffset>297815</wp:posOffset>
                </wp:positionV>
                <wp:extent cx="4392295" cy="0"/>
                <wp:effectExtent l="0" t="0" r="0" b="0"/>
                <wp:wrapNone/>
                <wp:docPr id="7" name="Shape 7"/>
                <wp:cNvGraphicFramePr/>
                <a:graphic xmlns:a="http://schemas.openxmlformats.org/drawingml/2006/main">
                  <a:graphicData uri="http://schemas.microsoft.com/office/word/2010/wordprocessingShape">
                    <wps:wsp>
                      <wps:cNvCnPr/>
                      <wps:spPr>
                        <a:xfrm>
                          <a:off x="0" y="0"/>
                          <a:ext cx="4392295" cy="0"/>
                        </a:xfrm>
                        <a:prstGeom prst="straightConnector1">
                          <a:avLst/>
                        </a:prstGeom>
                        <a:ln w="8890">
                          <a:solidFill/>
                        </a:ln>
                      </wps:spPr>
                      <wps:bodyPr/>
                    </wps:wsp>
                  </a:graphicData>
                </a:graphic>
              </wp:anchor>
            </w:drawing>
          </mc:Choice>
          <mc:Fallback>
            <w:pict>
              <v:shape o:spt="32" o:oned="1" path="m,l21600,21600e" style="position:absolute;margin-left:22.300000000000001pt;margin-top:23.449999999999999pt;width:345.85000000000002pt;height:0;z-index:-251658240;mso-position-horizontal-relative:page;mso-position-vertical-relative:page">
                <v:stroke weight="0.69999999999999996pt"/>
              </v:shape>
            </w:pict>
          </mc:Fallback>
        </mc:AlternateContent>
      </w:r>
    </w:p>
    <w:p w14:paraId="6DB1DF36" w14:textId="77777777" w:rsidR="00845B18" w:rsidRDefault="00000000">
      <w:pPr>
        <w:pStyle w:val="Zhlavnebozpat0"/>
        <w:framePr w:wrap="none" w:vAnchor="page" w:hAnchor="page" w:x="3740" w:y="139"/>
        <w:shd w:val="clear" w:color="auto" w:fill="auto"/>
        <w:rPr>
          <w:sz w:val="18"/>
          <w:szCs w:val="18"/>
        </w:rPr>
      </w:pPr>
      <w:r>
        <w:rPr>
          <w:sz w:val="18"/>
          <w:szCs w:val="18"/>
        </w:rPr>
        <w:t>ti5l</w:t>
      </w:r>
    </w:p>
    <w:tbl>
      <w:tblPr>
        <w:tblOverlap w:val="never"/>
        <w:tblW w:w="0" w:type="auto"/>
        <w:tblLayout w:type="fixed"/>
        <w:tblCellMar>
          <w:left w:w="10" w:type="dxa"/>
          <w:right w:w="10" w:type="dxa"/>
        </w:tblCellMar>
        <w:tblLook w:val="0000" w:firstRow="0" w:lastRow="0" w:firstColumn="0" w:lastColumn="0" w:noHBand="0" w:noVBand="0"/>
      </w:tblPr>
      <w:tblGrid>
        <w:gridCol w:w="1882"/>
        <w:gridCol w:w="1618"/>
        <w:gridCol w:w="1627"/>
      </w:tblGrid>
      <w:tr w:rsidR="00845B18" w14:paraId="3C947019" w14:textId="77777777">
        <w:tblPrEx>
          <w:tblCellMar>
            <w:top w:w="0" w:type="dxa"/>
            <w:bottom w:w="0" w:type="dxa"/>
          </w:tblCellMar>
        </w:tblPrEx>
        <w:trPr>
          <w:trHeight w:hRule="exact" w:val="413"/>
        </w:trPr>
        <w:tc>
          <w:tcPr>
            <w:tcW w:w="1882" w:type="dxa"/>
            <w:shd w:val="clear" w:color="auto" w:fill="FFFFFF"/>
          </w:tcPr>
          <w:p w14:paraId="5BCD071D" w14:textId="77777777" w:rsidR="00845B18" w:rsidRDefault="00000000">
            <w:pPr>
              <w:pStyle w:val="Jin0"/>
              <w:framePr w:w="5126" w:h="1565" w:wrap="none" w:vAnchor="page" w:hAnchor="page" w:x="1340" w:y="686"/>
              <w:shd w:val="clear" w:color="auto" w:fill="auto"/>
              <w:spacing w:after="0" w:line="240" w:lineRule="auto"/>
              <w:jc w:val="center"/>
              <w:rPr>
                <w:sz w:val="14"/>
                <w:szCs w:val="14"/>
              </w:rPr>
            </w:pPr>
            <w:r>
              <w:rPr>
                <w:rFonts w:ascii="Arial" w:eastAsia="Arial" w:hAnsi="Arial" w:cs="Arial"/>
                <w:b/>
                <w:bCs/>
                <w:sz w:val="14"/>
                <w:szCs w:val="14"/>
              </w:rPr>
              <w:t>země</w:t>
            </w:r>
          </w:p>
        </w:tc>
        <w:tc>
          <w:tcPr>
            <w:tcW w:w="1618" w:type="dxa"/>
            <w:shd w:val="clear" w:color="auto" w:fill="FFFFFF"/>
            <w:vAlign w:val="bottom"/>
          </w:tcPr>
          <w:p w14:paraId="6396BDF9" w14:textId="77777777" w:rsidR="00845B18" w:rsidRDefault="00000000">
            <w:pPr>
              <w:pStyle w:val="Jin0"/>
              <w:framePr w:w="5126" w:h="1565" w:wrap="none" w:vAnchor="page" w:hAnchor="page" w:x="1340" w:y="686"/>
              <w:shd w:val="clear" w:color="auto" w:fill="auto"/>
              <w:spacing w:after="0" w:line="240" w:lineRule="auto"/>
              <w:jc w:val="center"/>
              <w:rPr>
                <w:sz w:val="14"/>
                <w:szCs w:val="14"/>
              </w:rPr>
            </w:pPr>
            <w:r>
              <w:rPr>
                <w:rFonts w:ascii="Arial" w:eastAsia="Arial" w:hAnsi="Arial" w:cs="Arial"/>
                <w:b/>
                <w:bCs/>
                <w:sz w:val="14"/>
                <w:szCs w:val="14"/>
              </w:rPr>
              <w:t>roční obrat</w:t>
            </w:r>
          </w:p>
          <w:p w14:paraId="2902DC84" w14:textId="77777777" w:rsidR="00845B18" w:rsidRDefault="00000000">
            <w:pPr>
              <w:pStyle w:val="Jin0"/>
              <w:framePr w:w="5126" w:h="1565" w:wrap="none" w:vAnchor="page" w:hAnchor="page" w:x="1340" w:y="686"/>
              <w:shd w:val="clear" w:color="auto" w:fill="auto"/>
              <w:spacing w:after="0" w:line="240" w:lineRule="auto"/>
              <w:jc w:val="center"/>
              <w:rPr>
                <w:sz w:val="15"/>
                <w:szCs w:val="15"/>
              </w:rPr>
            </w:pPr>
            <w:r>
              <w:rPr>
                <w:sz w:val="15"/>
                <w:szCs w:val="15"/>
              </w:rPr>
              <w:t xml:space="preserve">(mld. </w:t>
            </w:r>
            <w:r>
              <w:rPr>
                <w:sz w:val="15"/>
                <w:szCs w:val="15"/>
                <w:lang w:val="es-ES" w:eastAsia="es-ES" w:bidi="es-ES"/>
              </w:rPr>
              <w:t>euro)</w:t>
            </w:r>
          </w:p>
        </w:tc>
        <w:tc>
          <w:tcPr>
            <w:tcW w:w="1627" w:type="dxa"/>
            <w:shd w:val="clear" w:color="auto" w:fill="FFFFFF"/>
            <w:vAlign w:val="bottom"/>
          </w:tcPr>
          <w:p w14:paraId="6DD26C5F" w14:textId="77777777" w:rsidR="00845B18" w:rsidRDefault="00000000">
            <w:pPr>
              <w:pStyle w:val="Jin0"/>
              <w:framePr w:w="5126" w:h="1565" w:wrap="none" w:vAnchor="page" w:hAnchor="page" w:x="1340" w:y="686"/>
              <w:shd w:val="clear" w:color="auto" w:fill="auto"/>
              <w:spacing w:after="0" w:line="271" w:lineRule="auto"/>
              <w:jc w:val="center"/>
              <w:rPr>
                <w:sz w:val="14"/>
                <w:szCs w:val="14"/>
              </w:rPr>
            </w:pPr>
            <w:r>
              <w:rPr>
                <w:rFonts w:ascii="Arial" w:eastAsia="Arial" w:hAnsi="Arial" w:cs="Arial"/>
                <w:b/>
                <w:bCs/>
                <w:sz w:val="14"/>
                <w:szCs w:val="14"/>
              </w:rPr>
              <w:t>počet vydaných titulů na 1 000 obyvatel</w:t>
            </w:r>
          </w:p>
        </w:tc>
      </w:tr>
      <w:tr w:rsidR="00845B18" w14:paraId="723BBDAA" w14:textId="77777777">
        <w:tblPrEx>
          <w:tblCellMar>
            <w:top w:w="0" w:type="dxa"/>
            <w:bottom w:w="0" w:type="dxa"/>
          </w:tblCellMar>
        </w:tblPrEx>
        <w:trPr>
          <w:trHeight w:hRule="exact" w:val="230"/>
        </w:trPr>
        <w:tc>
          <w:tcPr>
            <w:tcW w:w="1882" w:type="dxa"/>
            <w:shd w:val="clear" w:color="auto" w:fill="FFFFFF"/>
            <w:vAlign w:val="bottom"/>
          </w:tcPr>
          <w:p w14:paraId="259D4507" w14:textId="77777777" w:rsidR="00845B18" w:rsidRDefault="00000000">
            <w:pPr>
              <w:pStyle w:val="Jin0"/>
              <w:framePr w:w="5126" w:h="1565" w:wrap="none" w:vAnchor="page" w:hAnchor="page" w:x="1340" w:y="686"/>
              <w:shd w:val="clear" w:color="auto" w:fill="auto"/>
              <w:spacing w:after="0" w:line="240" w:lineRule="auto"/>
              <w:jc w:val="left"/>
              <w:rPr>
                <w:sz w:val="15"/>
                <w:szCs w:val="15"/>
              </w:rPr>
            </w:pPr>
            <w:r>
              <w:rPr>
                <w:sz w:val="15"/>
                <w:szCs w:val="15"/>
              </w:rPr>
              <w:t>Kanada</w:t>
            </w:r>
          </w:p>
        </w:tc>
        <w:tc>
          <w:tcPr>
            <w:tcW w:w="1618" w:type="dxa"/>
            <w:tcBorders>
              <w:top w:val="single" w:sz="4" w:space="0" w:color="auto"/>
              <w:left w:val="single" w:sz="4" w:space="0" w:color="auto"/>
            </w:tcBorders>
            <w:shd w:val="clear" w:color="auto" w:fill="FFFFFF"/>
            <w:vAlign w:val="bottom"/>
          </w:tcPr>
          <w:p w14:paraId="1D6DDE22" w14:textId="77777777" w:rsidR="00845B18" w:rsidRDefault="00000000">
            <w:pPr>
              <w:pStyle w:val="Jin0"/>
              <w:framePr w:w="5126" w:h="1565" w:wrap="none" w:vAnchor="page" w:hAnchor="page" w:x="1340" w:y="686"/>
              <w:shd w:val="clear" w:color="auto" w:fill="auto"/>
              <w:spacing w:after="0" w:line="240" w:lineRule="auto"/>
              <w:jc w:val="center"/>
              <w:rPr>
                <w:sz w:val="15"/>
                <w:szCs w:val="15"/>
              </w:rPr>
            </w:pPr>
            <w:r>
              <w:rPr>
                <w:sz w:val="15"/>
                <w:szCs w:val="15"/>
              </w:rPr>
              <w:t>2,3</w:t>
            </w:r>
          </w:p>
        </w:tc>
        <w:tc>
          <w:tcPr>
            <w:tcW w:w="1627" w:type="dxa"/>
            <w:tcBorders>
              <w:top w:val="single" w:sz="4" w:space="0" w:color="auto"/>
              <w:left w:val="single" w:sz="4" w:space="0" w:color="auto"/>
            </w:tcBorders>
            <w:shd w:val="clear" w:color="auto" w:fill="FFFFFF"/>
            <w:vAlign w:val="center"/>
          </w:tcPr>
          <w:p w14:paraId="1AEF87DC" w14:textId="77777777" w:rsidR="00845B18" w:rsidRDefault="00000000">
            <w:pPr>
              <w:pStyle w:val="Jin0"/>
              <w:framePr w:w="5126" w:h="1565" w:wrap="none" w:vAnchor="page" w:hAnchor="page" w:x="1340" w:y="686"/>
              <w:shd w:val="clear" w:color="auto" w:fill="auto"/>
              <w:spacing w:after="0" w:line="240" w:lineRule="auto"/>
              <w:jc w:val="center"/>
              <w:rPr>
                <w:sz w:val="15"/>
                <w:szCs w:val="15"/>
              </w:rPr>
            </w:pPr>
            <w:r>
              <w:rPr>
                <w:sz w:val="15"/>
                <w:szCs w:val="15"/>
              </w:rPr>
              <w:t>—</w:t>
            </w:r>
          </w:p>
        </w:tc>
      </w:tr>
      <w:tr w:rsidR="00845B18" w14:paraId="6A722699" w14:textId="77777777">
        <w:tblPrEx>
          <w:tblCellMar>
            <w:top w:w="0" w:type="dxa"/>
            <w:bottom w:w="0" w:type="dxa"/>
          </w:tblCellMar>
        </w:tblPrEx>
        <w:trPr>
          <w:trHeight w:hRule="exact" w:val="226"/>
        </w:trPr>
        <w:tc>
          <w:tcPr>
            <w:tcW w:w="1882" w:type="dxa"/>
            <w:shd w:val="clear" w:color="auto" w:fill="FFFFFF"/>
            <w:vAlign w:val="center"/>
          </w:tcPr>
          <w:p w14:paraId="78E80C2E" w14:textId="77777777" w:rsidR="00845B18" w:rsidRDefault="00000000">
            <w:pPr>
              <w:pStyle w:val="Jin0"/>
              <w:framePr w:w="5126" w:h="1565" w:wrap="none" w:vAnchor="page" w:hAnchor="page" w:x="1340" w:y="686"/>
              <w:shd w:val="clear" w:color="auto" w:fill="auto"/>
              <w:spacing w:after="0" w:line="240" w:lineRule="auto"/>
              <w:jc w:val="left"/>
              <w:rPr>
                <w:sz w:val="15"/>
                <w:szCs w:val="15"/>
              </w:rPr>
            </w:pPr>
            <w:r>
              <w:rPr>
                <w:sz w:val="15"/>
                <w:szCs w:val="15"/>
              </w:rPr>
              <w:t>Jižní Korea</w:t>
            </w:r>
          </w:p>
        </w:tc>
        <w:tc>
          <w:tcPr>
            <w:tcW w:w="1618" w:type="dxa"/>
            <w:tcBorders>
              <w:top w:val="single" w:sz="4" w:space="0" w:color="auto"/>
              <w:left w:val="single" w:sz="4" w:space="0" w:color="auto"/>
            </w:tcBorders>
            <w:shd w:val="clear" w:color="auto" w:fill="FFFFFF"/>
            <w:vAlign w:val="bottom"/>
          </w:tcPr>
          <w:p w14:paraId="7928306D" w14:textId="77777777" w:rsidR="00845B18" w:rsidRDefault="00000000">
            <w:pPr>
              <w:pStyle w:val="Jin0"/>
              <w:framePr w:w="5126" w:h="1565" w:wrap="none" w:vAnchor="page" w:hAnchor="page" w:x="1340" w:y="686"/>
              <w:shd w:val="clear" w:color="auto" w:fill="auto"/>
              <w:spacing w:after="0" w:line="240" w:lineRule="auto"/>
              <w:jc w:val="center"/>
              <w:rPr>
                <w:sz w:val="15"/>
                <w:szCs w:val="15"/>
              </w:rPr>
            </w:pPr>
            <w:r>
              <w:rPr>
                <w:sz w:val="15"/>
                <w:szCs w:val="15"/>
              </w:rPr>
              <w:t>2,0</w:t>
            </w:r>
          </w:p>
        </w:tc>
        <w:tc>
          <w:tcPr>
            <w:tcW w:w="1627" w:type="dxa"/>
            <w:tcBorders>
              <w:top w:val="single" w:sz="4" w:space="0" w:color="auto"/>
              <w:left w:val="single" w:sz="4" w:space="0" w:color="auto"/>
            </w:tcBorders>
            <w:shd w:val="clear" w:color="auto" w:fill="FFFFFF"/>
            <w:vAlign w:val="bottom"/>
          </w:tcPr>
          <w:p w14:paraId="15D6BF36" w14:textId="77777777" w:rsidR="00845B18" w:rsidRDefault="00000000">
            <w:pPr>
              <w:pStyle w:val="Jin0"/>
              <w:framePr w:w="5126" w:h="1565" w:wrap="none" w:vAnchor="page" w:hAnchor="page" w:x="1340" w:y="686"/>
              <w:shd w:val="clear" w:color="auto" w:fill="auto"/>
              <w:spacing w:after="0" w:line="240" w:lineRule="auto"/>
              <w:jc w:val="center"/>
              <w:rPr>
                <w:sz w:val="15"/>
                <w:szCs w:val="15"/>
              </w:rPr>
            </w:pPr>
            <w:r>
              <w:rPr>
                <w:sz w:val="15"/>
                <w:szCs w:val="15"/>
              </w:rPr>
              <w:t>0,8</w:t>
            </w:r>
          </w:p>
        </w:tc>
      </w:tr>
      <w:tr w:rsidR="00845B18" w14:paraId="70437764" w14:textId="77777777">
        <w:tblPrEx>
          <w:tblCellMar>
            <w:top w:w="0" w:type="dxa"/>
            <w:bottom w:w="0" w:type="dxa"/>
          </w:tblCellMar>
        </w:tblPrEx>
        <w:trPr>
          <w:trHeight w:hRule="exact" w:val="221"/>
        </w:trPr>
        <w:tc>
          <w:tcPr>
            <w:tcW w:w="1882" w:type="dxa"/>
            <w:shd w:val="clear" w:color="auto" w:fill="FFFFFF"/>
            <w:vAlign w:val="bottom"/>
          </w:tcPr>
          <w:p w14:paraId="383FAD53" w14:textId="77777777" w:rsidR="00845B18" w:rsidRDefault="00000000">
            <w:pPr>
              <w:pStyle w:val="Jin0"/>
              <w:framePr w:w="5126" w:h="1565" w:wrap="none" w:vAnchor="page" w:hAnchor="page" w:x="1340" w:y="686"/>
              <w:shd w:val="clear" w:color="auto" w:fill="auto"/>
              <w:spacing w:after="0" w:line="240" w:lineRule="auto"/>
              <w:jc w:val="left"/>
              <w:rPr>
                <w:sz w:val="15"/>
                <w:szCs w:val="15"/>
              </w:rPr>
            </w:pPr>
            <w:r>
              <w:rPr>
                <w:sz w:val="15"/>
                <w:szCs w:val="15"/>
              </w:rPr>
              <w:t>Rusko</w:t>
            </w:r>
          </w:p>
        </w:tc>
        <w:tc>
          <w:tcPr>
            <w:tcW w:w="1618" w:type="dxa"/>
            <w:tcBorders>
              <w:top w:val="single" w:sz="4" w:space="0" w:color="auto"/>
              <w:left w:val="single" w:sz="4" w:space="0" w:color="auto"/>
            </w:tcBorders>
            <w:shd w:val="clear" w:color="auto" w:fill="FFFFFF"/>
            <w:vAlign w:val="bottom"/>
          </w:tcPr>
          <w:p w14:paraId="7DE918A6" w14:textId="77777777" w:rsidR="00845B18" w:rsidRDefault="00000000">
            <w:pPr>
              <w:pStyle w:val="Jin0"/>
              <w:framePr w:w="5126" w:h="1565" w:wrap="none" w:vAnchor="page" w:hAnchor="page" w:x="1340" w:y="686"/>
              <w:shd w:val="clear" w:color="auto" w:fill="auto"/>
              <w:spacing w:after="0" w:line="240" w:lineRule="auto"/>
              <w:jc w:val="center"/>
              <w:rPr>
                <w:sz w:val="15"/>
                <w:szCs w:val="15"/>
              </w:rPr>
            </w:pPr>
            <w:r>
              <w:rPr>
                <w:sz w:val="15"/>
                <w:szCs w:val="15"/>
              </w:rPr>
              <w:t>1,9</w:t>
            </w:r>
          </w:p>
        </w:tc>
        <w:tc>
          <w:tcPr>
            <w:tcW w:w="1627" w:type="dxa"/>
            <w:tcBorders>
              <w:top w:val="single" w:sz="4" w:space="0" w:color="auto"/>
              <w:left w:val="single" w:sz="4" w:space="0" w:color="auto"/>
            </w:tcBorders>
            <w:shd w:val="clear" w:color="auto" w:fill="FFFFFF"/>
            <w:vAlign w:val="center"/>
          </w:tcPr>
          <w:p w14:paraId="72638DCA" w14:textId="77777777" w:rsidR="00845B18" w:rsidRDefault="00000000">
            <w:pPr>
              <w:pStyle w:val="Jin0"/>
              <w:framePr w:w="5126" w:h="1565" w:wrap="none" w:vAnchor="page" w:hAnchor="page" w:x="1340" w:y="686"/>
              <w:shd w:val="clear" w:color="auto" w:fill="auto"/>
              <w:spacing w:after="0" w:line="240" w:lineRule="auto"/>
              <w:jc w:val="center"/>
              <w:rPr>
                <w:sz w:val="15"/>
                <w:szCs w:val="15"/>
              </w:rPr>
            </w:pPr>
            <w:r>
              <w:rPr>
                <w:sz w:val="15"/>
                <w:szCs w:val="15"/>
              </w:rPr>
              <w:t>—</w:t>
            </w:r>
          </w:p>
        </w:tc>
      </w:tr>
      <w:tr w:rsidR="00845B18" w14:paraId="125EF7D5" w14:textId="77777777">
        <w:tblPrEx>
          <w:tblCellMar>
            <w:top w:w="0" w:type="dxa"/>
            <w:bottom w:w="0" w:type="dxa"/>
          </w:tblCellMar>
        </w:tblPrEx>
        <w:trPr>
          <w:trHeight w:hRule="exact" w:val="230"/>
        </w:trPr>
        <w:tc>
          <w:tcPr>
            <w:tcW w:w="1882" w:type="dxa"/>
            <w:shd w:val="clear" w:color="auto" w:fill="FFFFFF"/>
            <w:vAlign w:val="bottom"/>
          </w:tcPr>
          <w:p w14:paraId="67481EA7" w14:textId="77777777" w:rsidR="00845B18" w:rsidRDefault="00000000">
            <w:pPr>
              <w:pStyle w:val="Jin0"/>
              <w:framePr w:w="5126" w:h="1565" w:wrap="none" w:vAnchor="page" w:hAnchor="page" w:x="1340" w:y="686"/>
              <w:shd w:val="clear" w:color="auto" w:fill="auto"/>
              <w:spacing w:after="0" w:line="240" w:lineRule="auto"/>
              <w:jc w:val="left"/>
              <w:rPr>
                <w:sz w:val="15"/>
                <w:szCs w:val="15"/>
              </w:rPr>
            </w:pPr>
            <w:r>
              <w:rPr>
                <w:sz w:val="15"/>
                <w:szCs w:val="15"/>
              </w:rPr>
              <w:t>Austrálie</w:t>
            </w:r>
          </w:p>
        </w:tc>
        <w:tc>
          <w:tcPr>
            <w:tcW w:w="1618" w:type="dxa"/>
            <w:tcBorders>
              <w:top w:val="single" w:sz="4" w:space="0" w:color="auto"/>
              <w:left w:val="single" w:sz="4" w:space="0" w:color="auto"/>
            </w:tcBorders>
            <w:shd w:val="clear" w:color="auto" w:fill="FFFFFF"/>
            <w:vAlign w:val="bottom"/>
          </w:tcPr>
          <w:p w14:paraId="54CCD917" w14:textId="77777777" w:rsidR="00845B18" w:rsidRDefault="00000000">
            <w:pPr>
              <w:pStyle w:val="Jin0"/>
              <w:framePr w:w="5126" w:h="1565" w:wrap="none" w:vAnchor="page" w:hAnchor="page" w:x="1340" w:y="686"/>
              <w:shd w:val="clear" w:color="auto" w:fill="auto"/>
              <w:spacing w:after="0" w:line="240" w:lineRule="auto"/>
              <w:jc w:val="center"/>
              <w:rPr>
                <w:sz w:val="15"/>
                <w:szCs w:val="15"/>
              </w:rPr>
            </w:pPr>
            <w:r>
              <w:rPr>
                <w:sz w:val="15"/>
                <w:szCs w:val="15"/>
              </w:rPr>
              <w:t>1,5</w:t>
            </w:r>
          </w:p>
        </w:tc>
        <w:tc>
          <w:tcPr>
            <w:tcW w:w="1627" w:type="dxa"/>
            <w:tcBorders>
              <w:top w:val="single" w:sz="4" w:space="0" w:color="auto"/>
              <w:left w:val="single" w:sz="4" w:space="0" w:color="auto"/>
            </w:tcBorders>
            <w:shd w:val="clear" w:color="auto" w:fill="FFFFFF"/>
            <w:vAlign w:val="bottom"/>
          </w:tcPr>
          <w:p w14:paraId="51B11AD3" w14:textId="77777777" w:rsidR="00845B18" w:rsidRDefault="00000000">
            <w:pPr>
              <w:pStyle w:val="Jin0"/>
              <w:framePr w:w="5126" w:h="1565" w:wrap="none" w:vAnchor="page" w:hAnchor="page" w:x="1340" w:y="686"/>
              <w:shd w:val="clear" w:color="auto" w:fill="auto"/>
              <w:spacing w:after="0" w:line="240" w:lineRule="auto"/>
              <w:jc w:val="center"/>
              <w:rPr>
                <w:sz w:val="15"/>
                <w:szCs w:val="15"/>
              </w:rPr>
            </w:pPr>
            <w:r>
              <w:rPr>
                <w:sz w:val="15"/>
                <w:szCs w:val="15"/>
              </w:rPr>
              <w:t>0,9</w:t>
            </w:r>
          </w:p>
        </w:tc>
      </w:tr>
      <w:tr w:rsidR="00845B18" w14:paraId="4AC03165" w14:textId="77777777">
        <w:tblPrEx>
          <w:tblCellMar>
            <w:top w:w="0" w:type="dxa"/>
            <w:bottom w:w="0" w:type="dxa"/>
          </w:tblCellMar>
        </w:tblPrEx>
        <w:trPr>
          <w:trHeight w:hRule="exact" w:val="245"/>
        </w:trPr>
        <w:tc>
          <w:tcPr>
            <w:tcW w:w="1882" w:type="dxa"/>
            <w:shd w:val="clear" w:color="auto" w:fill="FFFFFF"/>
            <w:vAlign w:val="center"/>
          </w:tcPr>
          <w:p w14:paraId="60565E6C" w14:textId="77777777" w:rsidR="00845B18" w:rsidRDefault="00000000">
            <w:pPr>
              <w:pStyle w:val="Jin0"/>
              <w:framePr w:w="5126" w:h="1565" w:wrap="none" w:vAnchor="page" w:hAnchor="page" w:x="1340" w:y="686"/>
              <w:shd w:val="clear" w:color="auto" w:fill="auto"/>
              <w:spacing w:after="0" w:line="240" w:lineRule="auto"/>
              <w:jc w:val="left"/>
              <w:rPr>
                <w:sz w:val="15"/>
                <w:szCs w:val="15"/>
              </w:rPr>
            </w:pPr>
            <w:r>
              <w:rPr>
                <w:sz w:val="15"/>
                <w:szCs w:val="15"/>
              </w:rPr>
              <w:t>Turecko</w:t>
            </w:r>
          </w:p>
        </w:tc>
        <w:tc>
          <w:tcPr>
            <w:tcW w:w="1618" w:type="dxa"/>
            <w:tcBorders>
              <w:top w:val="single" w:sz="4" w:space="0" w:color="auto"/>
              <w:left w:val="single" w:sz="4" w:space="0" w:color="auto"/>
            </w:tcBorders>
            <w:shd w:val="clear" w:color="auto" w:fill="FFFFFF"/>
            <w:vAlign w:val="center"/>
          </w:tcPr>
          <w:p w14:paraId="6C715057" w14:textId="77777777" w:rsidR="00845B18" w:rsidRDefault="00000000">
            <w:pPr>
              <w:pStyle w:val="Jin0"/>
              <w:framePr w:w="5126" w:h="1565" w:wrap="none" w:vAnchor="page" w:hAnchor="page" w:x="1340" w:y="686"/>
              <w:shd w:val="clear" w:color="auto" w:fill="auto"/>
              <w:spacing w:after="0" w:line="240" w:lineRule="auto"/>
              <w:jc w:val="center"/>
              <w:rPr>
                <w:sz w:val="15"/>
                <w:szCs w:val="15"/>
              </w:rPr>
            </w:pPr>
            <w:r>
              <w:rPr>
                <w:sz w:val="15"/>
                <w:szCs w:val="15"/>
              </w:rPr>
              <w:t>1,2</w:t>
            </w:r>
          </w:p>
        </w:tc>
        <w:tc>
          <w:tcPr>
            <w:tcW w:w="1627" w:type="dxa"/>
            <w:tcBorders>
              <w:top w:val="single" w:sz="4" w:space="0" w:color="auto"/>
              <w:left w:val="single" w:sz="4" w:space="0" w:color="auto"/>
            </w:tcBorders>
            <w:shd w:val="clear" w:color="auto" w:fill="FFFFFF"/>
            <w:vAlign w:val="center"/>
          </w:tcPr>
          <w:p w14:paraId="52240427" w14:textId="77777777" w:rsidR="00845B18" w:rsidRDefault="00000000">
            <w:pPr>
              <w:pStyle w:val="Jin0"/>
              <w:framePr w:w="5126" w:h="1565" w:wrap="none" w:vAnchor="page" w:hAnchor="page" w:x="1340" w:y="686"/>
              <w:shd w:val="clear" w:color="auto" w:fill="auto"/>
              <w:spacing w:after="0" w:line="240" w:lineRule="auto"/>
              <w:jc w:val="center"/>
              <w:rPr>
                <w:sz w:val="15"/>
                <w:szCs w:val="15"/>
              </w:rPr>
            </w:pPr>
            <w:r>
              <w:rPr>
                <w:sz w:val="15"/>
                <w:szCs w:val="15"/>
              </w:rPr>
              <w:t>0,5</w:t>
            </w:r>
          </w:p>
        </w:tc>
      </w:tr>
    </w:tbl>
    <w:p w14:paraId="4A33D8BE" w14:textId="77777777" w:rsidR="00845B18" w:rsidRDefault="00000000">
      <w:pPr>
        <w:pStyle w:val="Titulektabulky0"/>
        <w:framePr w:w="6974" w:h="163" w:hRule="exact" w:wrap="none" w:vAnchor="page" w:hAnchor="page" w:x="428" w:y="2285"/>
        <w:shd w:val="clear" w:color="auto" w:fill="auto"/>
        <w:spacing w:line="240" w:lineRule="auto"/>
        <w:ind w:left="0" w:firstLine="0"/>
        <w:jc w:val="center"/>
        <w:rPr>
          <w:sz w:val="12"/>
          <w:szCs w:val="12"/>
        </w:rPr>
      </w:pPr>
      <w:r>
        <w:rPr>
          <w:rFonts w:ascii="Arial" w:eastAsia="Arial" w:hAnsi="Arial" w:cs="Arial"/>
          <w:sz w:val="12"/>
          <w:szCs w:val="12"/>
        </w:rPr>
        <w:t xml:space="preserve">Zdroj: </w:t>
      </w:r>
      <w:r>
        <w:rPr>
          <w:rFonts w:ascii="Arial" w:eastAsia="Arial" w:hAnsi="Arial" w:cs="Arial"/>
          <w:sz w:val="12"/>
          <w:szCs w:val="12"/>
          <w:lang w:val="fr-FR" w:eastAsia="fr-FR" w:bidi="fr-FR"/>
        </w:rPr>
        <w:t xml:space="preserve">International </w:t>
      </w:r>
      <w:proofErr w:type="spellStart"/>
      <w:r>
        <w:rPr>
          <w:rFonts w:ascii="Arial" w:eastAsia="Arial" w:hAnsi="Arial" w:cs="Arial"/>
          <w:sz w:val="12"/>
          <w:szCs w:val="12"/>
        </w:rPr>
        <w:t>Publishers</w:t>
      </w:r>
      <w:proofErr w:type="spellEnd"/>
      <w:r>
        <w:rPr>
          <w:rFonts w:ascii="Arial" w:eastAsia="Arial" w:hAnsi="Arial" w:cs="Arial"/>
          <w:sz w:val="12"/>
          <w:szCs w:val="12"/>
        </w:rPr>
        <w:t xml:space="preserve"> </w:t>
      </w:r>
      <w:r>
        <w:rPr>
          <w:rFonts w:ascii="Arial" w:eastAsia="Arial" w:hAnsi="Arial" w:cs="Arial"/>
          <w:sz w:val="12"/>
          <w:szCs w:val="12"/>
          <w:lang w:val="fr-FR" w:eastAsia="fr-FR" w:bidi="fr-FR"/>
        </w:rPr>
        <w:t xml:space="preserve">Association </w:t>
      </w:r>
      <w:r>
        <w:rPr>
          <w:rFonts w:ascii="Arial" w:eastAsia="Arial" w:hAnsi="Arial" w:cs="Arial"/>
          <w:sz w:val="12"/>
          <w:szCs w:val="12"/>
        </w:rPr>
        <w:t>(2010-2012)</w:t>
      </w:r>
    </w:p>
    <w:p w14:paraId="420EBDD3" w14:textId="77777777" w:rsidR="00845B18" w:rsidRDefault="00000000">
      <w:pPr>
        <w:pStyle w:val="Zkladntext20"/>
        <w:framePr w:w="6974" w:h="8520" w:hRule="exact" w:wrap="none" w:vAnchor="page" w:hAnchor="page" w:x="428" w:y="2635"/>
        <w:shd w:val="clear" w:color="auto" w:fill="auto"/>
        <w:spacing w:after="120" w:line="290" w:lineRule="auto"/>
        <w:rPr>
          <w:sz w:val="18"/>
          <w:szCs w:val="18"/>
        </w:rPr>
      </w:pPr>
      <w:r>
        <w:rPr>
          <w:sz w:val="18"/>
          <w:szCs w:val="18"/>
        </w:rPr>
        <w:t>Pro srovnání: Česká republika vykazuje roční obrat zhruba 0,3 miliardy eur, počet ti</w:t>
      </w:r>
      <w:r>
        <w:rPr>
          <w:sz w:val="18"/>
          <w:szCs w:val="18"/>
        </w:rPr>
        <w:softHyphen/>
        <w:t>tulů na tisíc obyvatel je 1,7 (2012). Celkový roční obrat světového trhu se odhaduje na 106 miliard eur (2012), přičemž asi třetina tohoto obratu se generuje v USA, asi dese</w:t>
      </w:r>
      <w:r>
        <w:rPr>
          <w:sz w:val="18"/>
          <w:szCs w:val="18"/>
        </w:rPr>
        <w:softHyphen/>
        <w:t>tina v Německu. Šest největších trhů představuje zhruba šedesát procent celosvětového obratu. Český knižní trh je tedy co do obratu asi stokrát menší než trh v USA, třicetkrát menší než trh v Německu a asi desetkrát menší než trh italský.</w:t>
      </w:r>
    </w:p>
    <w:p w14:paraId="4A952876" w14:textId="77777777" w:rsidR="00845B18" w:rsidRDefault="00000000">
      <w:pPr>
        <w:pStyle w:val="Zkladntext20"/>
        <w:framePr w:w="6974" w:h="8520" w:hRule="exact" w:wrap="none" w:vAnchor="page" w:hAnchor="page" w:x="428" w:y="2635"/>
        <w:shd w:val="clear" w:color="auto" w:fill="auto"/>
        <w:spacing w:after="120" w:line="290" w:lineRule="auto"/>
        <w:rPr>
          <w:sz w:val="18"/>
          <w:szCs w:val="18"/>
        </w:rPr>
      </w:pPr>
      <w:r>
        <w:rPr>
          <w:sz w:val="18"/>
          <w:szCs w:val="18"/>
        </w:rPr>
        <w:t>Už od konce 70. let minulého století probíhá, zejména v západním světě, integrace na</w:t>
      </w:r>
      <w:r>
        <w:rPr>
          <w:sz w:val="18"/>
          <w:szCs w:val="18"/>
        </w:rPr>
        <w:softHyphen/>
        <w:t xml:space="preserve">kladatelství do větších celků, jež v další fázi dokonce překračují hranice čistě knižního světa, čímž vznikají velké konglomeráty nakladatelsko-mediální. Pro tento trend se vžil název </w:t>
      </w:r>
      <w:r>
        <w:rPr>
          <w:i/>
          <w:iCs/>
          <w:sz w:val="18"/>
          <w:szCs w:val="18"/>
        </w:rPr>
        <w:t xml:space="preserve">Media and </w:t>
      </w:r>
      <w:r>
        <w:rPr>
          <w:i/>
          <w:iCs/>
          <w:sz w:val="18"/>
          <w:szCs w:val="18"/>
          <w:lang w:val="fr-FR" w:eastAsia="fr-FR" w:bidi="fr-FR"/>
        </w:rPr>
        <w:t xml:space="preserve">Content </w:t>
      </w:r>
      <w:proofErr w:type="spellStart"/>
      <w:r>
        <w:rPr>
          <w:i/>
          <w:iCs/>
          <w:sz w:val="18"/>
          <w:szCs w:val="18"/>
        </w:rPr>
        <w:t>Industries</w:t>
      </w:r>
      <w:proofErr w:type="spellEnd"/>
      <w:r>
        <w:rPr>
          <w:sz w:val="18"/>
          <w:szCs w:val="18"/>
        </w:rPr>
        <w:t xml:space="preserve"> (MCI). Knižní svět se tak stává součástí globální sítě světa médií a tzv. informačního a zábavního průmyslu. Například pět největších kon</w:t>
      </w:r>
      <w:r>
        <w:rPr>
          <w:sz w:val="18"/>
          <w:szCs w:val="18"/>
        </w:rPr>
        <w:softHyphen/>
        <w:t>glomerátů kontroluje osmdesát procent amerického knižního trhu. Tyto konglomeráty skupují mnohá zavedená nakladatelství a ve značné míře také postupně mění způsob je</w:t>
      </w:r>
      <w:r>
        <w:rPr>
          <w:sz w:val="18"/>
          <w:szCs w:val="18"/>
        </w:rPr>
        <w:softHyphen/>
        <w:t xml:space="preserve">jich fungování, daleko více ve stylu nazývaném </w:t>
      </w:r>
      <w:proofErr w:type="spellStart"/>
      <w:r>
        <w:rPr>
          <w:i/>
          <w:iCs/>
          <w:sz w:val="18"/>
          <w:szCs w:val="18"/>
        </w:rPr>
        <w:t>businesslike</w:t>
      </w:r>
      <w:proofErr w:type="spellEnd"/>
      <w:r>
        <w:rPr>
          <w:i/>
          <w:iCs/>
          <w:sz w:val="18"/>
          <w:szCs w:val="18"/>
        </w:rPr>
        <w:t>.</w:t>
      </w:r>
      <w:r>
        <w:rPr>
          <w:sz w:val="18"/>
          <w:szCs w:val="18"/>
        </w:rPr>
        <w:t xml:space="preserve"> Upouští se tak od modelu, že prodávanější knihy vydělávají na ty méně prodejné, a přechází se na model, že každá kniha </w:t>
      </w:r>
      <w:proofErr w:type="spellStart"/>
      <w:r>
        <w:rPr>
          <w:sz w:val="18"/>
          <w:szCs w:val="18"/>
          <w:lang w:val="es-ES" w:eastAsia="es-ES" w:bidi="es-ES"/>
        </w:rPr>
        <w:t>si</w:t>
      </w:r>
      <w:proofErr w:type="spellEnd"/>
      <w:r>
        <w:rPr>
          <w:sz w:val="18"/>
          <w:szCs w:val="18"/>
          <w:lang w:val="es-ES" w:eastAsia="es-ES" w:bidi="es-ES"/>
        </w:rPr>
        <w:t xml:space="preserve"> </w:t>
      </w:r>
      <w:proofErr w:type="spellStart"/>
      <w:r>
        <w:rPr>
          <w:sz w:val="18"/>
          <w:szCs w:val="18"/>
          <w:lang w:val="es-ES" w:eastAsia="es-ES" w:bidi="es-ES"/>
        </w:rPr>
        <w:t>na</w:t>
      </w:r>
      <w:proofErr w:type="spellEnd"/>
      <w:r>
        <w:rPr>
          <w:sz w:val="18"/>
          <w:szCs w:val="18"/>
          <w:lang w:val="es-ES" w:eastAsia="es-ES" w:bidi="es-ES"/>
        </w:rPr>
        <w:t xml:space="preserve"> sebe </w:t>
      </w:r>
      <w:r>
        <w:rPr>
          <w:sz w:val="18"/>
          <w:szCs w:val="18"/>
        </w:rPr>
        <w:t>musí vydělat víceméně sama. Prodejně-marketingové praktiky jsou stá</w:t>
      </w:r>
      <w:r>
        <w:rPr>
          <w:sz w:val="18"/>
          <w:szCs w:val="18"/>
        </w:rPr>
        <w:softHyphen/>
        <w:t>le agresivnější. Je to dáno nesmírným nárůstem nabídky, čímž dochází i ke zkracová</w:t>
      </w:r>
      <w:r>
        <w:rPr>
          <w:sz w:val="18"/>
          <w:szCs w:val="18"/>
        </w:rPr>
        <w:softHyphen/>
        <w:t xml:space="preserve">ní „regálového času“ </w:t>
      </w:r>
      <w:r>
        <w:rPr>
          <w:i/>
          <w:iCs/>
          <w:sz w:val="18"/>
          <w:szCs w:val="18"/>
        </w:rPr>
        <w:t>(</w:t>
      </w:r>
      <w:proofErr w:type="spellStart"/>
      <w:r>
        <w:rPr>
          <w:i/>
          <w:iCs/>
          <w:sz w:val="18"/>
          <w:szCs w:val="18"/>
        </w:rPr>
        <w:t>short-terminism</w:t>
      </w:r>
      <w:proofErr w:type="spellEnd"/>
      <w:r>
        <w:rPr>
          <w:i/>
          <w:iCs/>
          <w:sz w:val="18"/>
          <w:szCs w:val="18"/>
        </w:rPr>
        <w:t>),</w:t>
      </w:r>
      <w:r>
        <w:rPr>
          <w:sz w:val="18"/>
          <w:szCs w:val="18"/>
        </w:rPr>
        <w:t xml:space="preserve"> takže nakladatelé </w:t>
      </w:r>
      <w:r>
        <w:rPr>
          <w:sz w:val="18"/>
          <w:szCs w:val="18"/>
          <w:lang w:val="fr-FR" w:eastAsia="fr-FR" w:bidi="fr-FR"/>
        </w:rPr>
        <w:t xml:space="preserve">si </w:t>
      </w:r>
      <w:r>
        <w:rPr>
          <w:sz w:val="18"/>
          <w:szCs w:val="18"/>
        </w:rPr>
        <w:t xml:space="preserve">zvykli platit knihkupcům za umístění svých titulů na privilegovaném místě knihkupectví </w:t>
      </w:r>
      <w:r>
        <w:rPr>
          <w:i/>
          <w:iCs/>
          <w:sz w:val="18"/>
          <w:szCs w:val="18"/>
          <w:lang w:val="fr-FR" w:eastAsia="fr-FR" w:bidi="fr-FR"/>
        </w:rPr>
        <w:t>(placement).</w:t>
      </w:r>
      <w:r>
        <w:rPr>
          <w:sz w:val="18"/>
          <w:szCs w:val="18"/>
          <w:lang w:val="fr-FR" w:eastAsia="fr-FR" w:bidi="fr-FR"/>
        </w:rPr>
        <w:t xml:space="preserve"> </w:t>
      </w:r>
      <w:r>
        <w:rPr>
          <w:sz w:val="18"/>
          <w:szCs w:val="18"/>
        </w:rPr>
        <w:t xml:space="preserve">Toto vše kritizují tradiční nakladatelé a představitelé kultury, konkrétně proto, že tento způsob zákonitě vede k zužování nabídky a porušování rovnováhy mezi ekonomickými zřeteli a kulturním angažmá. V této souvislosti se hovoří o tzv. ekonomické cenzuře </w:t>
      </w:r>
      <w:r>
        <w:rPr>
          <w:i/>
          <w:iCs/>
          <w:sz w:val="18"/>
          <w:szCs w:val="18"/>
          <w:lang w:val="fr-FR" w:eastAsia="fr-FR" w:bidi="fr-FR"/>
        </w:rPr>
        <w:t>(</w:t>
      </w:r>
      <w:proofErr w:type="spellStart"/>
      <w:r>
        <w:rPr>
          <w:i/>
          <w:iCs/>
          <w:sz w:val="18"/>
          <w:szCs w:val="18"/>
          <w:lang w:val="fr-FR" w:eastAsia="fr-FR" w:bidi="fr-FR"/>
        </w:rPr>
        <w:t>market</w:t>
      </w:r>
      <w:proofErr w:type="spellEnd"/>
      <w:r>
        <w:rPr>
          <w:i/>
          <w:iCs/>
          <w:sz w:val="18"/>
          <w:szCs w:val="18"/>
          <w:lang w:val="fr-FR" w:eastAsia="fr-FR" w:bidi="fr-FR"/>
        </w:rPr>
        <w:t xml:space="preserve"> </w:t>
      </w:r>
      <w:proofErr w:type="spellStart"/>
      <w:r>
        <w:rPr>
          <w:i/>
          <w:iCs/>
          <w:sz w:val="18"/>
          <w:szCs w:val="18"/>
        </w:rPr>
        <w:t>censorship</w:t>
      </w:r>
      <w:proofErr w:type="spellEnd"/>
      <w:r>
        <w:rPr>
          <w:i/>
          <w:iCs/>
          <w:sz w:val="18"/>
          <w:szCs w:val="18"/>
        </w:rPr>
        <w:t>).</w:t>
      </w:r>
      <w:r>
        <w:rPr>
          <w:sz w:val="18"/>
          <w:szCs w:val="18"/>
        </w:rPr>
        <w:t xml:space="preserve"> Daný způsob mění i mnohá zavedená pravidla: dříve platilo, že nakladatel </w:t>
      </w:r>
      <w:r>
        <w:rPr>
          <w:sz w:val="18"/>
          <w:szCs w:val="18"/>
          <w:lang w:val="fr-FR" w:eastAsia="fr-FR" w:bidi="fr-FR"/>
        </w:rPr>
        <w:t xml:space="preserve">si </w:t>
      </w:r>
      <w:r>
        <w:rPr>
          <w:sz w:val="18"/>
          <w:szCs w:val="18"/>
        </w:rPr>
        <w:t>pěstuje svůj autorský okruh, který se stává jeho hlavní vizitkou. Dnes se daný způsob nahrazuje aukcemi, tj. licitacemi nakladatelů s agentem — kdo dá za toho kterého autora a jeho titul víc. Přitom už se ve stále větší míře obchoduje nikoli s vydanými knihami, ale pouze s připravovanými rukopisy. To poskytuje také daleko silnější pozici agentům než spisovatelům. Kritizováno je, že velké korporace v daleko větší míře zaměstnávají mladší pracovníky, protože jsou levnější a také povolnější. Tím z nakladatelské práce — soudí kritici těchto nových způsobů — mizí i zkušenost, rozhled a smysl pro dlouho</w:t>
      </w:r>
      <w:r>
        <w:rPr>
          <w:sz w:val="18"/>
          <w:szCs w:val="18"/>
        </w:rPr>
        <w:softHyphen/>
        <w:t>dobější strategie.</w:t>
      </w:r>
    </w:p>
    <w:p w14:paraId="573E046B" w14:textId="77777777" w:rsidR="00845B18" w:rsidRDefault="00000000">
      <w:pPr>
        <w:pStyle w:val="Zkladntext20"/>
        <w:framePr w:w="6974" w:h="8520" w:hRule="exact" w:wrap="none" w:vAnchor="page" w:hAnchor="page" w:x="428" w:y="2635"/>
        <w:shd w:val="clear" w:color="auto" w:fill="auto"/>
        <w:spacing w:after="0" w:line="300" w:lineRule="auto"/>
        <w:rPr>
          <w:sz w:val="18"/>
          <w:szCs w:val="18"/>
        </w:rPr>
      </w:pPr>
      <w:r>
        <w:rPr>
          <w:sz w:val="18"/>
          <w:szCs w:val="18"/>
        </w:rPr>
        <w:t>Dominanci západního světa ukazuje i seznam deseti největších nakladatelských spo</w:t>
      </w:r>
      <w:r>
        <w:rPr>
          <w:sz w:val="18"/>
          <w:szCs w:val="18"/>
        </w:rPr>
        <w:softHyphen/>
        <w:t>lečností.</w:t>
      </w:r>
    </w:p>
    <w:p w14:paraId="013C56A4" w14:textId="77777777" w:rsidR="00845B18" w:rsidRDefault="00845B18">
      <w:pPr>
        <w:spacing w:line="14" w:lineRule="exact"/>
        <w:sectPr w:rsidR="00845B18">
          <w:pgSz w:w="8400" w:h="11900"/>
          <w:pgMar w:top="360" w:right="360" w:bottom="360" w:left="360" w:header="0" w:footer="3" w:gutter="0"/>
          <w:cols w:space="720"/>
          <w:noEndnote/>
          <w:docGrid w:linePitch="360"/>
        </w:sectPr>
      </w:pPr>
    </w:p>
    <w:p w14:paraId="02D475EC" w14:textId="77777777" w:rsidR="00845B18" w:rsidRDefault="00845B18">
      <w:pPr>
        <w:spacing w:line="14" w:lineRule="exact"/>
      </w:pPr>
    </w:p>
    <w:p w14:paraId="2BBC95E2" w14:textId="77777777" w:rsidR="00845B18" w:rsidRDefault="00000000">
      <w:pPr>
        <w:pStyle w:val="Zhlavnebozpat0"/>
        <w:framePr w:wrap="none" w:vAnchor="page" w:hAnchor="page" w:x="4359" w:y="125"/>
        <w:shd w:val="clear" w:color="auto" w:fill="auto"/>
        <w:rPr>
          <w:sz w:val="18"/>
          <w:szCs w:val="18"/>
        </w:rPr>
      </w:pPr>
      <w:r>
        <w:rPr>
          <w:sz w:val="18"/>
          <w:szCs w:val="18"/>
        </w:rPr>
        <w:t>Ii61</w:t>
      </w:r>
    </w:p>
    <w:p w14:paraId="7CCED873" w14:textId="77777777" w:rsidR="00845B18" w:rsidRDefault="00000000">
      <w:pPr>
        <w:pStyle w:val="Titulektabulky0"/>
        <w:framePr w:wrap="none" w:vAnchor="page" w:hAnchor="page" w:x="2684" w:y="638"/>
        <w:shd w:val="clear" w:color="auto" w:fill="auto"/>
        <w:spacing w:line="240" w:lineRule="auto"/>
        <w:ind w:left="0" w:firstLine="0"/>
        <w:rPr>
          <w:sz w:val="16"/>
          <w:szCs w:val="16"/>
        </w:rPr>
      </w:pPr>
      <w:r>
        <w:rPr>
          <w:rFonts w:ascii="Calibri" w:eastAsia="Calibri" w:hAnsi="Calibri" w:cs="Calibri"/>
          <w:sz w:val="16"/>
          <w:szCs w:val="16"/>
        </w:rPr>
        <w:t>Tab. 1.2 Největší nakladatelské společnosti na světě</w:t>
      </w:r>
    </w:p>
    <w:tbl>
      <w:tblPr>
        <w:tblOverlap w:val="never"/>
        <w:tblW w:w="0" w:type="auto"/>
        <w:tblLayout w:type="fixed"/>
        <w:tblCellMar>
          <w:left w:w="10" w:type="dxa"/>
          <w:right w:w="10" w:type="dxa"/>
        </w:tblCellMar>
        <w:tblLook w:val="0000" w:firstRow="0" w:lastRow="0" w:firstColumn="0" w:lastColumn="0" w:noHBand="0" w:noVBand="0"/>
      </w:tblPr>
      <w:tblGrid>
        <w:gridCol w:w="1661"/>
        <w:gridCol w:w="2174"/>
        <w:gridCol w:w="2179"/>
        <w:gridCol w:w="931"/>
      </w:tblGrid>
      <w:tr w:rsidR="00845B18" w14:paraId="44C72DB4" w14:textId="77777777">
        <w:tblPrEx>
          <w:tblCellMar>
            <w:top w:w="0" w:type="dxa"/>
            <w:bottom w:w="0" w:type="dxa"/>
          </w:tblCellMar>
        </w:tblPrEx>
        <w:trPr>
          <w:trHeight w:hRule="exact" w:val="427"/>
        </w:trPr>
        <w:tc>
          <w:tcPr>
            <w:tcW w:w="1661" w:type="dxa"/>
            <w:shd w:val="clear" w:color="auto" w:fill="FFFFFF"/>
          </w:tcPr>
          <w:p w14:paraId="2652A110" w14:textId="77777777" w:rsidR="00845B18" w:rsidRDefault="00000000">
            <w:pPr>
              <w:pStyle w:val="Jin0"/>
              <w:framePr w:w="6946" w:h="2693" w:wrap="none" w:vAnchor="page" w:hAnchor="page" w:x="1033" w:y="989"/>
              <w:shd w:val="clear" w:color="auto" w:fill="auto"/>
              <w:spacing w:after="0" w:line="240" w:lineRule="auto"/>
              <w:jc w:val="left"/>
              <w:rPr>
                <w:sz w:val="14"/>
                <w:szCs w:val="14"/>
              </w:rPr>
            </w:pPr>
            <w:r>
              <w:rPr>
                <w:rFonts w:ascii="Arial" w:eastAsia="Arial" w:hAnsi="Arial" w:cs="Arial"/>
                <w:b/>
                <w:bCs/>
                <w:sz w:val="14"/>
                <w:szCs w:val="14"/>
              </w:rPr>
              <w:t>společnost</w:t>
            </w:r>
          </w:p>
        </w:tc>
        <w:tc>
          <w:tcPr>
            <w:tcW w:w="2174" w:type="dxa"/>
            <w:shd w:val="clear" w:color="auto" w:fill="FFFFFF"/>
          </w:tcPr>
          <w:p w14:paraId="4AF9A69F" w14:textId="77777777" w:rsidR="00845B18" w:rsidRDefault="00000000">
            <w:pPr>
              <w:pStyle w:val="Jin0"/>
              <w:framePr w:w="6946" w:h="2693" w:wrap="none" w:vAnchor="page" w:hAnchor="page" w:x="1033" w:y="989"/>
              <w:shd w:val="clear" w:color="auto" w:fill="auto"/>
              <w:spacing w:after="0" w:line="240" w:lineRule="auto"/>
              <w:jc w:val="left"/>
              <w:rPr>
                <w:sz w:val="14"/>
                <w:szCs w:val="14"/>
              </w:rPr>
            </w:pPr>
            <w:r>
              <w:rPr>
                <w:rFonts w:ascii="Arial" w:eastAsia="Arial" w:hAnsi="Arial" w:cs="Arial"/>
                <w:b/>
                <w:bCs/>
                <w:sz w:val="14"/>
                <w:szCs w:val="14"/>
              </w:rPr>
              <w:t>země</w:t>
            </w:r>
          </w:p>
        </w:tc>
        <w:tc>
          <w:tcPr>
            <w:tcW w:w="2179" w:type="dxa"/>
            <w:shd w:val="clear" w:color="auto" w:fill="FFFFFF"/>
          </w:tcPr>
          <w:p w14:paraId="667A0A5C" w14:textId="77777777" w:rsidR="00845B18" w:rsidRDefault="00000000">
            <w:pPr>
              <w:pStyle w:val="Jin0"/>
              <w:framePr w:w="6946" w:h="2693" w:wrap="none" w:vAnchor="page" w:hAnchor="page" w:x="1033" w:y="989"/>
              <w:shd w:val="clear" w:color="auto" w:fill="auto"/>
              <w:spacing w:after="0" w:line="240" w:lineRule="auto"/>
              <w:jc w:val="left"/>
              <w:rPr>
                <w:sz w:val="14"/>
                <w:szCs w:val="14"/>
              </w:rPr>
            </w:pPr>
            <w:r>
              <w:rPr>
                <w:rFonts w:ascii="Arial" w:eastAsia="Arial" w:hAnsi="Arial" w:cs="Arial"/>
                <w:b/>
                <w:bCs/>
                <w:sz w:val="14"/>
                <w:szCs w:val="14"/>
              </w:rPr>
              <w:t>vlastník</w:t>
            </w:r>
          </w:p>
        </w:tc>
        <w:tc>
          <w:tcPr>
            <w:tcW w:w="931" w:type="dxa"/>
            <w:shd w:val="clear" w:color="auto" w:fill="FFFFFF"/>
            <w:vAlign w:val="bottom"/>
          </w:tcPr>
          <w:p w14:paraId="72EC5B23" w14:textId="77777777" w:rsidR="00845B18" w:rsidRDefault="00000000">
            <w:pPr>
              <w:pStyle w:val="Jin0"/>
              <w:framePr w:w="6946" w:h="2693" w:wrap="none" w:vAnchor="page" w:hAnchor="page" w:x="1033" w:y="989"/>
              <w:shd w:val="clear" w:color="auto" w:fill="auto"/>
              <w:spacing w:after="0" w:line="240" w:lineRule="auto"/>
              <w:jc w:val="center"/>
              <w:rPr>
                <w:sz w:val="14"/>
                <w:szCs w:val="14"/>
              </w:rPr>
            </w:pPr>
            <w:r>
              <w:rPr>
                <w:rFonts w:ascii="Arial" w:eastAsia="Arial" w:hAnsi="Arial" w:cs="Arial"/>
                <w:b/>
                <w:bCs/>
                <w:sz w:val="14"/>
                <w:szCs w:val="14"/>
              </w:rPr>
              <w:t>roční obrat</w:t>
            </w:r>
          </w:p>
          <w:p w14:paraId="7071473F" w14:textId="77777777" w:rsidR="00845B18" w:rsidRDefault="00000000">
            <w:pPr>
              <w:pStyle w:val="Jin0"/>
              <w:framePr w:w="6946" w:h="2693" w:wrap="none" w:vAnchor="page" w:hAnchor="page" w:x="1033" w:y="989"/>
              <w:shd w:val="clear" w:color="auto" w:fill="auto"/>
              <w:spacing w:after="0" w:line="240" w:lineRule="auto"/>
              <w:jc w:val="center"/>
              <w:rPr>
                <w:sz w:val="15"/>
                <w:szCs w:val="15"/>
              </w:rPr>
            </w:pPr>
            <w:r>
              <w:rPr>
                <w:sz w:val="15"/>
                <w:szCs w:val="15"/>
              </w:rPr>
              <w:t>(</w:t>
            </w:r>
            <w:proofErr w:type="spellStart"/>
            <w:r>
              <w:rPr>
                <w:sz w:val="15"/>
                <w:szCs w:val="15"/>
              </w:rPr>
              <w:t>mtd</w:t>
            </w:r>
            <w:proofErr w:type="spellEnd"/>
            <w:r>
              <w:rPr>
                <w:sz w:val="15"/>
                <w:szCs w:val="15"/>
              </w:rPr>
              <w:t xml:space="preserve">. </w:t>
            </w:r>
            <w:r>
              <w:rPr>
                <w:sz w:val="15"/>
                <w:szCs w:val="15"/>
                <w:lang w:val="es-ES" w:eastAsia="es-ES" w:bidi="es-ES"/>
              </w:rPr>
              <w:t>euro)</w:t>
            </w:r>
          </w:p>
        </w:tc>
      </w:tr>
      <w:tr w:rsidR="00845B18" w14:paraId="42802F18" w14:textId="77777777">
        <w:tblPrEx>
          <w:tblCellMar>
            <w:top w:w="0" w:type="dxa"/>
            <w:bottom w:w="0" w:type="dxa"/>
          </w:tblCellMar>
        </w:tblPrEx>
        <w:trPr>
          <w:trHeight w:hRule="exact" w:val="226"/>
        </w:trPr>
        <w:tc>
          <w:tcPr>
            <w:tcW w:w="1661" w:type="dxa"/>
            <w:shd w:val="clear" w:color="auto" w:fill="FFFFFF"/>
            <w:vAlign w:val="bottom"/>
          </w:tcPr>
          <w:p w14:paraId="283128EF" w14:textId="77777777" w:rsidR="00845B18" w:rsidRDefault="00000000">
            <w:pPr>
              <w:pStyle w:val="Jin0"/>
              <w:framePr w:w="6946" w:h="2693" w:wrap="none" w:vAnchor="page" w:hAnchor="page" w:x="1033" w:y="989"/>
              <w:shd w:val="clear" w:color="auto" w:fill="auto"/>
              <w:spacing w:after="0" w:line="240" w:lineRule="auto"/>
              <w:jc w:val="left"/>
              <w:rPr>
                <w:sz w:val="15"/>
                <w:szCs w:val="15"/>
              </w:rPr>
            </w:pPr>
            <w:proofErr w:type="spellStart"/>
            <w:r>
              <w:rPr>
                <w:sz w:val="15"/>
                <w:szCs w:val="15"/>
              </w:rPr>
              <w:t>Pearson</w:t>
            </w:r>
            <w:proofErr w:type="spellEnd"/>
          </w:p>
        </w:tc>
        <w:tc>
          <w:tcPr>
            <w:tcW w:w="2174" w:type="dxa"/>
            <w:tcBorders>
              <w:top w:val="single" w:sz="4" w:space="0" w:color="auto"/>
              <w:left w:val="single" w:sz="4" w:space="0" w:color="auto"/>
            </w:tcBorders>
            <w:shd w:val="clear" w:color="auto" w:fill="FFFFFF"/>
            <w:vAlign w:val="bottom"/>
          </w:tcPr>
          <w:p w14:paraId="00FC2ACD" w14:textId="77777777" w:rsidR="00845B18" w:rsidRDefault="00000000">
            <w:pPr>
              <w:pStyle w:val="Jin0"/>
              <w:framePr w:w="6946" w:h="2693" w:wrap="none" w:vAnchor="page" w:hAnchor="page" w:x="1033" w:y="989"/>
              <w:shd w:val="clear" w:color="auto" w:fill="auto"/>
              <w:spacing w:after="0" w:line="240" w:lineRule="auto"/>
              <w:jc w:val="left"/>
              <w:rPr>
                <w:sz w:val="15"/>
                <w:szCs w:val="15"/>
              </w:rPr>
            </w:pPr>
            <w:r>
              <w:rPr>
                <w:sz w:val="15"/>
                <w:szCs w:val="15"/>
              </w:rPr>
              <w:t>Velká Británie.</w:t>
            </w:r>
          </w:p>
        </w:tc>
        <w:tc>
          <w:tcPr>
            <w:tcW w:w="2179" w:type="dxa"/>
            <w:tcBorders>
              <w:top w:val="single" w:sz="4" w:space="0" w:color="auto"/>
              <w:left w:val="single" w:sz="4" w:space="0" w:color="auto"/>
            </w:tcBorders>
            <w:shd w:val="clear" w:color="auto" w:fill="FFFFFF"/>
            <w:vAlign w:val="bottom"/>
          </w:tcPr>
          <w:p w14:paraId="6502A302" w14:textId="77777777" w:rsidR="00845B18" w:rsidRDefault="00000000">
            <w:pPr>
              <w:pStyle w:val="Jin0"/>
              <w:framePr w:w="6946" w:h="2693" w:wrap="none" w:vAnchor="page" w:hAnchor="page" w:x="1033" w:y="989"/>
              <w:shd w:val="clear" w:color="auto" w:fill="auto"/>
              <w:spacing w:after="0" w:line="240" w:lineRule="auto"/>
              <w:jc w:val="left"/>
              <w:rPr>
                <w:sz w:val="15"/>
                <w:szCs w:val="15"/>
              </w:rPr>
            </w:pPr>
            <w:proofErr w:type="spellStart"/>
            <w:r>
              <w:rPr>
                <w:sz w:val="15"/>
                <w:szCs w:val="15"/>
              </w:rPr>
              <w:t>Pearson</w:t>
            </w:r>
            <w:proofErr w:type="spellEnd"/>
            <w:r>
              <w:rPr>
                <w:sz w:val="15"/>
                <w:szCs w:val="15"/>
              </w:rPr>
              <w:t xml:space="preserve"> (</w:t>
            </w:r>
            <w:proofErr w:type="spellStart"/>
            <w:r>
              <w:rPr>
                <w:sz w:val="15"/>
                <w:szCs w:val="15"/>
              </w:rPr>
              <w:t>corp</w:t>
            </w:r>
            <w:proofErr w:type="spellEnd"/>
            <w:r>
              <w:rPr>
                <w:sz w:val="15"/>
                <w:szCs w:val="15"/>
              </w:rPr>
              <w:t>.)</w:t>
            </w:r>
          </w:p>
        </w:tc>
        <w:tc>
          <w:tcPr>
            <w:tcW w:w="931" w:type="dxa"/>
            <w:tcBorders>
              <w:top w:val="single" w:sz="4" w:space="0" w:color="auto"/>
              <w:left w:val="single" w:sz="4" w:space="0" w:color="auto"/>
            </w:tcBorders>
            <w:shd w:val="clear" w:color="auto" w:fill="FFFFFF"/>
            <w:vAlign w:val="bottom"/>
          </w:tcPr>
          <w:p w14:paraId="313467D5" w14:textId="77777777" w:rsidR="00845B18" w:rsidRDefault="00000000">
            <w:pPr>
              <w:pStyle w:val="Jin0"/>
              <w:framePr w:w="6946" w:h="2693" w:wrap="none" w:vAnchor="page" w:hAnchor="page" w:x="1033" w:y="989"/>
              <w:shd w:val="clear" w:color="auto" w:fill="auto"/>
              <w:spacing w:after="0" w:line="240" w:lineRule="auto"/>
              <w:jc w:val="center"/>
              <w:rPr>
                <w:sz w:val="15"/>
                <w:szCs w:val="15"/>
              </w:rPr>
            </w:pPr>
            <w:r>
              <w:rPr>
                <w:sz w:val="15"/>
                <w:szCs w:val="15"/>
              </w:rPr>
              <w:t>6,1</w:t>
            </w:r>
          </w:p>
        </w:tc>
      </w:tr>
      <w:tr w:rsidR="00845B18" w14:paraId="5183CD40" w14:textId="77777777">
        <w:tblPrEx>
          <w:tblCellMar>
            <w:top w:w="0" w:type="dxa"/>
            <w:bottom w:w="0" w:type="dxa"/>
          </w:tblCellMar>
        </w:tblPrEx>
        <w:trPr>
          <w:trHeight w:hRule="exact" w:val="226"/>
        </w:trPr>
        <w:tc>
          <w:tcPr>
            <w:tcW w:w="1661" w:type="dxa"/>
            <w:shd w:val="clear" w:color="auto" w:fill="FFFFFF"/>
            <w:vAlign w:val="bottom"/>
          </w:tcPr>
          <w:p w14:paraId="4A9B87F5" w14:textId="77777777" w:rsidR="00845B18" w:rsidRDefault="00000000">
            <w:pPr>
              <w:pStyle w:val="Jin0"/>
              <w:framePr w:w="6946" w:h="2693" w:wrap="none" w:vAnchor="page" w:hAnchor="page" w:x="1033" w:y="989"/>
              <w:shd w:val="clear" w:color="auto" w:fill="auto"/>
              <w:spacing w:after="0" w:line="240" w:lineRule="auto"/>
              <w:jc w:val="left"/>
              <w:rPr>
                <w:sz w:val="15"/>
                <w:szCs w:val="15"/>
              </w:rPr>
            </w:pPr>
            <w:proofErr w:type="spellStart"/>
            <w:r>
              <w:rPr>
                <w:sz w:val="15"/>
                <w:szCs w:val="15"/>
              </w:rPr>
              <w:t>Reed</w:t>
            </w:r>
            <w:proofErr w:type="spellEnd"/>
            <w:r>
              <w:rPr>
                <w:sz w:val="15"/>
                <w:szCs w:val="15"/>
              </w:rPr>
              <w:t xml:space="preserve"> </w:t>
            </w:r>
            <w:proofErr w:type="spellStart"/>
            <w:r>
              <w:rPr>
                <w:sz w:val="15"/>
                <w:szCs w:val="15"/>
              </w:rPr>
              <w:t>Elsevier</w:t>
            </w:r>
            <w:proofErr w:type="spellEnd"/>
          </w:p>
        </w:tc>
        <w:tc>
          <w:tcPr>
            <w:tcW w:w="2174" w:type="dxa"/>
            <w:tcBorders>
              <w:top w:val="single" w:sz="4" w:space="0" w:color="auto"/>
              <w:left w:val="single" w:sz="4" w:space="0" w:color="auto"/>
            </w:tcBorders>
            <w:shd w:val="clear" w:color="auto" w:fill="FFFFFF"/>
            <w:vAlign w:val="bottom"/>
          </w:tcPr>
          <w:p w14:paraId="4BBB8C7B" w14:textId="77777777" w:rsidR="00845B18" w:rsidRDefault="00000000">
            <w:pPr>
              <w:pStyle w:val="Jin0"/>
              <w:framePr w:w="6946" w:h="2693" w:wrap="none" w:vAnchor="page" w:hAnchor="page" w:x="1033" w:y="989"/>
              <w:shd w:val="clear" w:color="auto" w:fill="auto"/>
              <w:spacing w:after="0" w:line="240" w:lineRule="auto"/>
              <w:jc w:val="left"/>
              <w:rPr>
                <w:sz w:val="15"/>
                <w:szCs w:val="15"/>
              </w:rPr>
            </w:pPr>
            <w:r>
              <w:rPr>
                <w:sz w:val="15"/>
                <w:szCs w:val="15"/>
              </w:rPr>
              <w:t>Velká Británie/Nizozemsko/USA</w:t>
            </w:r>
          </w:p>
        </w:tc>
        <w:tc>
          <w:tcPr>
            <w:tcW w:w="2179" w:type="dxa"/>
            <w:tcBorders>
              <w:top w:val="single" w:sz="4" w:space="0" w:color="auto"/>
              <w:left w:val="single" w:sz="4" w:space="0" w:color="auto"/>
            </w:tcBorders>
            <w:shd w:val="clear" w:color="auto" w:fill="FFFFFF"/>
            <w:vAlign w:val="bottom"/>
          </w:tcPr>
          <w:p w14:paraId="750939A6" w14:textId="77777777" w:rsidR="00845B18" w:rsidRDefault="00000000">
            <w:pPr>
              <w:pStyle w:val="Jin0"/>
              <w:framePr w:w="6946" w:h="2693" w:wrap="none" w:vAnchor="page" w:hAnchor="page" w:x="1033" w:y="989"/>
              <w:shd w:val="clear" w:color="auto" w:fill="auto"/>
              <w:spacing w:after="0" w:line="240" w:lineRule="auto"/>
              <w:jc w:val="left"/>
              <w:rPr>
                <w:sz w:val="15"/>
                <w:szCs w:val="15"/>
              </w:rPr>
            </w:pPr>
            <w:proofErr w:type="spellStart"/>
            <w:r>
              <w:rPr>
                <w:sz w:val="15"/>
                <w:szCs w:val="15"/>
              </w:rPr>
              <w:t>Reed</w:t>
            </w:r>
            <w:proofErr w:type="spellEnd"/>
            <w:r>
              <w:rPr>
                <w:sz w:val="15"/>
                <w:szCs w:val="15"/>
              </w:rPr>
              <w:t xml:space="preserve"> </w:t>
            </w:r>
            <w:proofErr w:type="spellStart"/>
            <w:r>
              <w:rPr>
                <w:sz w:val="15"/>
                <w:szCs w:val="15"/>
              </w:rPr>
              <w:t>Elsevier</w:t>
            </w:r>
            <w:proofErr w:type="spellEnd"/>
            <w:r>
              <w:rPr>
                <w:sz w:val="15"/>
                <w:szCs w:val="15"/>
              </w:rPr>
              <w:t xml:space="preserve"> (</w:t>
            </w:r>
            <w:proofErr w:type="spellStart"/>
            <w:r>
              <w:rPr>
                <w:sz w:val="15"/>
                <w:szCs w:val="15"/>
              </w:rPr>
              <w:t>corp</w:t>
            </w:r>
            <w:proofErr w:type="spellEnd"/>
            <w:r>
              <w:rPr>
                <w:sz w:val="15"/>
                <w:szCs w:val="15"/>
              </w:rPr>
              <w:t>.)</w:t>
            </w:r>
          </w:p>
        </w:tc>
        <w:tc>
          <w:tcPr>
            <w:tcW w:w="931" w:type="dxa"/>
            <w:tcBorders>
              <w:top w:val="single" w:sz="4" w:space="0" w:color="auto"/>
              <w:left w:val="single" w:sz="4" w:space="0" w:color="auto"/>
            </w:tcBorders>
            <w:shd w:val="clear" w:color="auto" w:fill="FFFFFF"/>
            <w:vAlign w:val="bottom"/>
          </w:tcPr>
          <w:p w14:paraId="7DF595E1" w14:textId="77777777" w:rsidR="00845B18" w:rsidRDefault="00000000">
            <w:pPr>
              <w:pStyle w:val="Jin0"/>
              <w:framePr w:w="6946" w:h="2693" w:wrap="none" w:vAnchor="page" w:hAnchor="page" w:x="1033" w:y="989"/>
              <w:shd w:val="clear" w:color="auto" w:fill="auto"/>
              <w:spacing w:after="0" w:line="240" w:lineRule="auto"/>
              <w:jc w:val="center"/>
              <w:rPr>
                <w:sz w:val="15"/>
                <w:szCs w:val="15"/>
              </w:rPr>
            </w:pPr>
            <w:r>
              <w:rPr>
                <w:sz w:val="15"/>
                <w:szCs w:val="15"/>
              </w:rPr>
              <w:t>5,4</w:t>
            </w:r>
          </w:p>
        </w:tc>
      </w:tr>
      <w:tr w:rsidR="00845B18" w14:paraId="34DADA15" w14:textId="77777777">
        <w:tblPrEx>
          <w:tblCellMar>
            <w:top w:w="0" w:type="dxa"/>
            <w:bottom w:w="0" w:type="dxa"/>
          </w:tblCellMar>
        </w:tblPrEx>
        <w:trPr>
          <w:trHeight w:hRule="exact" w:val="226"/>
        </w:trPr>
        <w:tc>
          <w:tcPr>
            <w:tcW w:w="1661" w:type="dxa"/>
            <w:shd w:val="clear" w:color="auto" w:fill="FFFFFF"/>
            <w:vAlign w:val="bottom"/>
          </w:tcPr>
          <w:p w14:paraId="4865FB79" w14:textId="77777777" w:rsidR="00845B18" w:rsidRDefault="00000000">
            <w:pPr>
              <w:pStyle w:val="Jin0"/>
              <w:framePr w:w="6946" w:h="2693" w:wrap="none" w:vAnchor="page" w:hAnchor="page" w:x="1033" w:y="989"/>
              <w:shd w:val="clear" w:color="auto" w:fill="auto"/>
              <w:spacing w:after="0" w:line="240" w:lineRule="auto"/>
              <w:jc w:val="left"/>
              <w:rPr>
                <w:sz w:val="15"/>
                <w:szCs w:val="15"/>
              </w:rPr>
            </w:pPr>
            <w:proofErr w:type="spellStart"/>
            <w:r>
              <w:rPr>
                <w:sz w:val="15"/>
                <w:szCs w:val="15"/>
              </w:rPr>
              <w:t>Pearson</w:t>
            </w:r>
            <w:proofErr w:type="spellEnd"/>
            <w:r>
              <w:rPr>
                <w:sz w:val="15"/>
                <w:szCs w:val="15"/>
              </w:rPr>
              <w:t xml:space="preserve"> </w:t>
            </w:r>
            <w:proofErr w:type="spellStart"/>
            <w:r>
              <w:rPr>
                <w:sz w:val="15"/>
                <w:szCs w:val="15"/>
                <w:lang w:val="fr-FR" w:eastAsia="fr-FR" w:bidi="fr-FR"/>
              </w:rPr>
              <w:t>Education</w:t>
            </w:r>
            <w:proofErr w:type="spellEnd"/>
          </w:p>
        </w:tc>
        <w:tc>
          <w:tcPr>
            <w:tcW w:w="2174" w:type="dxa"/>
            <w:tcBorders>
              <w:top w:val="single" w:sz="4" w:space="0" w:color="auto"/>
              <w:left w:val="single" w:sz="4" w:space="0" w:color="auto"/>
            </w:tcBorders>
            <w:shd w:val="clear" w:color="auto" w:fill="FFFFFF"/>
            <w:vAlign w:val="bottom"/>
          </w:tcPr>
          <w:p w14:paraId="0B6D2807" w14:textId="77777777" w:rsidR="00845B18" w:rsidRDefault="00000000">
            <w:pPr>
              <w:pStyle w:val="Jin0"/>
              <w:framePr w:w="6946" w:h="2693" w:wrap="none" w:vAnchor="page" w:hAnchor="page" w:x="1033" w:y="989"/>
              <w:shd w:val="clear" w:color="auto" w:fill="auto"/>
              <w:spacing w:after="0" w:line="240" w:lineRule="auto"/>
              <w:jc w:val="left"/>
              <w:rPr>
                <w:sz w:val="15"/>
                <w:szCs w:val="15"/>
              </w:rPr>
            </w:pPr>
            <w:r>
              <w:rPr>
                <w:sz w:val="15"/>
                <w:szCs w:val="15"/>
              </w:rPr>
              <w:t>Velká Británie</w:t>
            </w:r>
          </w:p>
        </w:tc>
        <w:tc>
          <w:tcPr>
            <w:tcW w:w="2179" w:type="dxa"/>
            <w:tcBorders>
              <w:top w:val="single" w:sz="4" w:space="0" w:color="auto"/>
              <w:left w:val="single" w:sz="4" w:space="0" w:color="auto"/>
            </w:tcBorders>
            <w:shd w:val="clear" w:color="auto" w:fill="FFFFFF"/>
            <w:vAlign w:val="bottom"/>
          </w:tcPr>
          <w:p w14:paraId="75A54A90" w14:textId="77777777" w:rsidR="00845B18" w:rsidRDefault="00000000">
            <w:pPr>
              <w:pStyle w:val="Jin0"/>
              <w:framePr w:w="6946" w:h="2693" w:wrap="none" w:vAnchor="page" w:hAnchor="page" w:x="1033" w:y="989"/>
              <w:shd w:val="clear" w:color="auto" w:fill="auto"/>
              <w:spacing w:after="0" w:line="240" w:lineRule="auto"/>
              <w:jc w:val="left"/>
              <w:rPr>
                <w:sz w:val="15"/>
                <w:szCs w:val="15"/>
              </w:rPr>
            </w:pPr>
            <w:proofErr w:type="spellStart"/>
            <w:r>
              <w:rPr>
                <w:sz w:val="15"/>
                <w:szCs w:val="15"/>
              </w:rPr>
              <w:t>Pearson</w:t>
            </w:r>
            <w:proofErr w:type="spellEnd"/>
          </w:p>
        </w:tc>
        <w:tc>
          <w:tcPr>
            <w:tcW w:w="931" w:type="dxa"/>
            <w:tcBorders>
              <w:top w:val="single" w:sz="4" w:space="0" w:color="auto"/>
              <w:left w:val="single" w:sz="4" w:space="0" w:color="auto"/>
            </w:tcBorders>
            <w:shd w:val="clear" w:color="auto" w:fill="FFFFFF"/>
            <w:vAlign w:val="bottom"/>
          </w:tcPr>
          <w:p w14:paraId="612A7517" w14:textId="77777777" w:rsidR="00845B18" w:rsidRDefault="00000000">
            <w:pPr>
              <w:pStyle w:val="Jin0"/>
              <w:framePr w:w="6946" w:h="2693" w:wrap="none" w:vAnchor="page" w:hAnchor="page" w:x="1033" w:y="989"/>
              <w:shd w:val="clear" w:color="auto" w:fill="auto"/>
              <w:spacing w:after="0" w:line="240" w:lineRule="auto"/>
              <w:jc w:val="center"/>
              <w:rPr>
                <w:sz w:val="15"/>
                <w:szCs w:val="15"/>
              </w:rPr>
            </w:pPr>
            <w:r>
              <w:rPr>
                <w:sz w:val="15"/>
                <w:szCs w:val="15"/>
              </w:rPr>
              <w:t>4,9</w:t>
            </w:r>
          </w:p>
        </w:tc>
      </w:tr>
      <w:tr w:rsidR="00845B18" w14:paraId="494D9847" w14:textId="77777777">
        <w:tblPrEx>
          <w:tblCellMar>
            <w:top w:w="0" w:type="dxa"/>
            <w:bottom w:w="0" w:type="dxa"/>
          </w:tblCellMar>
        </w:tblPrEx>
        <w:trPr>
          <w:trHeight w:hRule="exact" w:val="226"/>
        </w:trPr>
        <w:tc>
          <w:tcPr>
            <w:tcW w:w="1661" w:type="dxa"/>
            <w:shd w:val="clear" w:color="auto" w:fill="FFFFFF"/>
            <w:vAlign w:val="bottom"/>
          </w:tcPr>
          <w:p w14:paraId="4AED3297" w14:textId="77777777" w:rsidR="00845B18" w:rsidRDefault="00000000">
            <w:pPr>
              <w:pStyle w:val="Jin0"/>
              <w:framePr w:w="6946" w:h="2693" w:wrap="none" w:vAnchor="page" w:hAnchor="page" w:x="1033" w:y="989"/>
              <w:shd w:val="clear" w:color="auto" w:fill="auto"/>
              <w:spacing w:after="0" w:line="240" w:lineRule="auto"/>
              <w:jc w:val="left"/>
              <w:rPr>
                <w:sz w:val="15"/>
                <w:szCs w:val="15"/>
              </w:rPr>
            </w:pPr>
            <w:r>
              <w:rPr>
                <w:sz w:val="15"/>
                <w:szCs w:val="15"/>
              </w:rPr>
              <w:t>Thomson Reuters</w:t>
            </w:r>
          </w:p>
        </w:tc>
        <w:tc>
          <w:tcPr>
            <w:tcW w:w="2174" w:type="dxa"/>
            <w:tcBorders>
              <w:top w:val="single" w:sz="4" w:space="0" w:color="auto"/>
              <w:left w:val="single" w:sz="4" w:space="0" w:color="auto"/>
            </w:tcBorders>
            <w:shd w:val="clear" w:color="auto" w:fill="FFFFFF"/>
            <w:vAlign w:val="bottom"/>
          </w:tcPr>
          <w:p w14:paraId="08BAB854" w14:textId="77777777" w:rsidR="00845B18" w:rsidRDefault="00000000">
            <w:pPr>
              <w:pStyle w:val="Jin0"/>
              <w:framePr w:w="6946" w:h="2693" w:wrap="none" w:vAnchor="page" w:hAnchor="page" w:x="1033" w:y="989"/>
              <w:shd w:val="clear" w:color="auto" w:fill="auto"/>
              <w:spacing w:after="0" w:line="240" w:lineRule="auto"/>
              <w:jc w:val="left"/>
              <w:rPr>
                <w:sz w:val="15"/>
                <w:szCs w:val="15"/>
              </w:rPr>
            </w:pPr>
            <w:r>
              <w:rPr>
                <w:sz w:val="15"/>
                <w:szCs w:val="15"/>
              </w:rPr>
              <w:t>USA</w:t>
            </w:r>
          </w:p>
        </w:tc>
        <w:tc>
          <w:tcPr>
            <w:tcW w:w="2179" w:type="dxa"/>
            <w:tcBorders>
              <w:top w:val="single" w:sz="4" w:space="0" w:color="auto"/>
              <w:left w:val="single" w:sz="4" w:space="0" w:color="auto"/>
            </w:tcBorders>
            <w:shd w:val="clear" w:color="auto" w:fill="FFFFFF"/>
            <w:vAlign w:val="bottom"/>
          </w:tcPr>
          <w:p w14:paraId="7E3E3073" w14:textId="77777777" w:rsidR="00845B18" w:rsidRDefault="00000000">
            <w:pPr>
              <w:pStyle w:val="Jin0"/>
              <w:framePr w:w="6946" w:h="2693" w:wrap="none" w:vAnchor="page" w:hAnchor="page" w:x="1033" w:y="989"/>
              <w:shd w:val="clear" w:color="auto" w:fill="auto"/>
              <w:spacing w:after="0" w:line="240" w:lineRule="auto"/>
              <w:jc w:val="left"/>
              <w:rPr>
                <w:sz w:val="15"/>
                <w:szCs w:val="15"/>
              </w:rPr>
            </w:pPr>
            <w:proofErr w:type="spellStart"/>
            <w:r>
              <w:rPr>
                <w:sz w:val="15"/>
                <w:szCs w:val="15"/>
              </w:rPr>
              <w:t>The</w:t>
            </w:r>
            <w:proofErr w:type="spellEnd"/>
            <w:r>
              <w:rPr>
                <w:sz w:val="15"/>
                <w:szCs w:val="15"/>
              </w:rPr>
              <w:t xml:space="preserve"> </w:t>
            </w:r>
            <w:proofErr w:type="spellStart"/>
            <w:r>
              <w:rPr>
                <w:sz w:val="15"/>
                <w:szCs w:val="15"/>
              </w:rPr>
              <w:t>Woodbridge</w:t>
            </w:r>
            <w:proofErr w:type="spellEnd"/>
            <w:r>
              <w:rPr>
                <w:sz w:val="15"/>
                <w:szCs w:val="15"/>
              </w:rPr>
              <w:t xml:space="preserve"> </w:t>
            </w:r>
            <w:proofErr w:type="spellStart"/>
            <w:r>
              <w:rPr>
                <w:sz w:val="15"/>
                <w:szCs w:val="15"/>
                <w:lang w:val="fr-FR" w:eastAsia="fr-FR" w:bidi="fr-FR"/>
              </w:rPr>
              <w:t>Company</w:t>
            </w:r>
            <w:proofErr w:type="spellEnd"/>
            <w:r>
              <w:rPr>
                <w:sz w:val="15"/>
                <w:szCs w:val="15"/>
                <w:lang w:val="fr-FR" w:eastAsia="fr-FR" w:bidi="fr-FR"/>
              </w:rPr>
              <w:t xml:space="preserve"> </w:t>
            </w:r>
            <w:r>
              <w:rPr>
                <w:sz w:val="15"/>
                <w:szCs w:val="15"/>
              </w:rPr>
              <w:t>Ltd.</w:t>
            </w:r>
          </w:p>
        </w:tc>
        <w:tc>
          <w:tcPr>
            <w:tcW w:w="931" w:type="dxa"/>
            <w:tcBorders>
              <w:top w:val="single" w:sz="4" w:space="0" w:color="auto"/>
              <w:left w:val="single" w:sz="4" w:space="0" w:color="auto"/>
            </w:tcBorders>
            <w:shd w:val="clear" w:color="auto" w:fill="FFFFFF"/>
            <w:vAlign w:val="bottom"/>
          </w:tcPr>
          <w:p w14:paraId="32D5A5FD" w14:textId="77777777" w:rsidR="00845B18" w:rsidRDefault="00000000">
            <w:pPr>
              <w:pStyle w:val="Jin0"/>
              <w:framePr w:w="6946" w:h="2693" w:wrap="none" w:vAnchor="page" w:hAnchor="page" w:x="1033" w:y="989"/>
              <w:shd w:val="clear" w:color="auto" w:fill="auto"/>
              <w:spacing w:after="0" w:line="240" w:lineRule="auto"/>
              <w:jc w:val="center"/>
              <w:rPr>
                <w:sz w:val="15"/>
                <w:szCs w:val="15"/>
              </w:rPr>
            </w:pPr>
            <w:r>
              <w:rPr>
                <w:sz w:val="15"/>
                <w:szCs w:val="15"/>
              </w:rPr>
              <w:t>4,3</w:t>
            </w:r>
          </w:p>
        </w:tc>
      </w:tr>
      <w:tr w:rsidR="00845B18" w14:paraId="6DBDFA4E" w14:textId="77777777">
        <w:tblPrEx>
          <w:tblCellMar>
            <w:top w:w="0" w:type="dxa"/>
            <w:bottom w:w="0" w:type="dxa"/>
          </w:tblCellMar>
        </w:tblPrEx>
        <w:trPr>
          <w:trHeight w:hRule="exact" w:val="226"/>
        </w:trPr>
        <w:tc>
          <w:tcPr>
            <w:tcW w:w="1661" w:type="dxa"/>
            <w:shd w:val="clear" w:color="auto" w:fill="FFFFFF"/>
            <w:vAlign w:val="bottom"/>
          </w:tcPr>
          <w:p w14:paraId="40D7AC91" w14:textId="77777777" w:rsidR="00845B18" w:rsidRDefault="00000000">
            <w:pPr>
              <w:pStyle w:val="Jin0"/>
              <w:framePr w:w="6946" w:h="2693" w:wrap="none" w:vAnchor="page" w:hAnchor="page" w:x="1033" w:y="989"/>
              <w:shd w:val="clear" w:color="auto" w:fill="auto"/>
              <w:spacing w:after="0" w:line="240" w:lineRule="auto"/>
              <w:jc w:val="left"/>
              <w:rPr>
                <w:sz w:val="15"/>
                <w:szCs w:val="15"/>
              </w:rPr>
            </w:pPr>
            <w:proofErr w:type="spellStart"/>
            <w:r>
              <w:rPr>
                <w:sz w:val="15"/>
                <w:szCs w:val="15"/>
              </w:rPr>
              <w:t>Wolters</w:t>
            </w:r>
            <w:proofErr w:type="spellEnd"/>
            <w:r>
              <w:rPr>
                <w:sz w:val="15"/>
                <w:szCs w:val="15"/>
              </w:rPr>
              <w:t xml:space="preserve"> </w:t>
            </w:r>
            <w:r>
              <w:rPr>
                <w:sz w:val="15"/>
                <w:szCs w:val="15"/>
                <w:lang w:val="fr-FR" w:eastAsia="fr-FR" w:bidi="fr-FR"/>
              </w:rPr>
              <w:t>Kluwer</w:t>
            </w:r>
          </w:p>
        </w:tc>
        <w:tc>
          <w:tcPr>
            <w:tcW w:w="2174" w:type="dxa"/>
            <w:tcBorders>
              <w:top w:val="single" w:sz="4" w:space="0" w:color="auto"/>
              <w:left w:val="single" w:sz="4" w:space="0" w:color="auto"/>
            </w:tcBorders>
            <w:shd w:val="clear" w:color="auto" w:fill="FFFFFF"/>
            <w:vAlign w:val="bottom"/>
          </w:tcPr>
          <w:p w14:paraId="2D04092C" w14:textId="77777777" w:rsidR="00845B18" w:rsidRDefault="00000000">
            <w:pPr>
              <w:pStyle w:val="Jin0"/>
              <w:framePr w:w="6946" w:h="2693" w:wrap="none" w:vAnchor="page" w:hAnchor="page" w:x="1033" w:y="989"/>
              <w:shd w:val="clear" w:color="auto" w:fill="auto"/>
              <w:spacing w:after="0" w:line="240" w:lineRule="auto"/>
              <w:jc w:val="left"/>
              <w:rPr>
                <w:sz w:val="15"/>
                <w:szCs w:val="15"/>
              </w:rPr>
            </w:pPr>
            <w:r>
              <w:rPr>
                <w:sz w:val="15"/>
                <w:szCs w:val="15"/>
              </w:rPr>
              <w:t>Nizozemsko</w:t>
            </w:r>
          </w:p>
        </w:tc>
        <w:tc>
          <w:tcPr>
            <w:tcW w:w="2179" w:type="dxa"/>
            <w:tcBorders>
              <w:top w:val="single" w:sz="4" w:space="0" w:color="auto"/>
              <w:left w:val="single" w:sz="4" w:space="0" w:color="auto"/>
            </w:tcBorders>
            <w:shd w:val="clear" w:color="auto" w:fill="FFFFFF"/>
            <w:vAlign w:val="bottom"/>
          </w:tcPr>
          <w:p w14:paraId="0EE0B64D" w14:textId="77777777" w:rsidR="00845B18" w:rsidRDefault="00000000">
            <w:pPr>
              <w:pStyle w:val="Jin0"/>
              <w:framePr w:w="6946" w:h="2693" w:wrap="none" w:vAnchor="page" w:hAnchor="page" w:x="1033" w:y="989"/>
              <w:shd w:val="clear" w:color="auto" w:fill="auto"/>
              <w:spacing w:after="0" w:line="240" w:lineRule="auto"/>
              <w:jc w:val="left"/>
              <w:rPr>
                <w:sz w:val="15"/>
                <w:szCs w:val="15"/>
              </w:rPr>
            </w:pPr>
            <w:proofErr w:type="spellStart"/>
            <w:r>
              <w:rPr>
                <w:sz w:val="15"/>
                <w:szCs w:val="15"/>
              </w:rPr>
              <w:t>Wolters</w:t>
            </w:r>
            <w:proofErr w:type="spellEnd"/>
            <w:r>
              <w:rPr>
                <w:sz w:val="15"/>
                <w:szCs w:val="15"/>
              </w:rPr>
              <w:t xml:space="preserve"> </w:t>
            </w:r>
            <w:r>
              <w:rPr>
                <w:sz w:val="15"/>
                <w:szCs w:val="15"/>
                <w:lang w:val="fr-FR" w:eastAsia="fr-FR" w:bidi="fr-FR"/>
              </w:rPr>
              <w:t>Kluwer</w:t>
            </w:r>
          </w:p>
        </w:tc>
        <w:tc>
          <w:tcPr>
            <w:tcW w:w="931" w:type="dxa"/>
            <w:tcBorders>
              <w:top w:val="single" w:sz="4" w:space="0" w:color="auto"/>
              <w:left w:val="single" w:sz="4" w:space="0" w:color="auto"/>
            </w:tcBorders>
            <w:shd w:val="clear" w:color="auto" w:fill="FFFFFF"/>
            <w:vAlign w:val="bottom"/>
          </w:tcPr>
          <w:p w14:paraId="5DBE6F3A" w14:textId="77777777" w:rsidR="00845B18" w:rsidRDefault="00000000">
            <w:pPr>
              <w:pStyle w:val="Jin0"/>
              <w:framePr w:w="6946" w:h="2693" w:wrap="none" w:vAnchor="page" w:hAnchor="page" w:x="1033" w:y="989"/>
              <w:shd w:val="clear" w:color="auto" w:fill="auto"/>
              <w:spacing w:after="0" w:line="240" w:lineRule="auto"/>
              <w:jc w:val="center"/>
              <w:rPr>
                <w:sz w:val="15"/>
                <w:szCs w:val="15"/>
              </w:rPr>
            </w:pPr>
            <w:r>
              <w:rPr>
                <w:sz w:val="15"/>
                <w:szCs w:val="15"/>
              </w:rPr>
              <w:t>3,6</w:t>
            </w:r>
          </w:p>
        </w:tc>
      </w:tr>
      <w:tr w:rsidR="00845B18" w14:paraId="1528DF75" w14:textId="77777777">
        <w:tblPrEx>
          <w:tblCellMar>
            <w:top w:w="0" w:type="dxa"/>
            <w:bottom w:w="0" w:type="dxa"/>
          </w:tblCellMar>
        </w:tblPrEx>
        <w:trPr>
          <w:trHeight w:hRule="exact" w:val="226"/>
        </w:trPr>
        <w:tc>
          <w:tcPr>
            <w:tcW w:w="1661" w:type="dxa"/>
            <w:shd w:val="clear" w:color="auto" w:fill="FFFFFF"/>
            <w:vAlign w:val="bottom"/>
          </w:tcPr>
          <w:p w14:paraId="2C38744E" w14:textId="77777777" w:rsidR="00845B18" w:rsidRDefault="00000000">
            <w:pPr>
              <w:pStyle w:val="Jin0"/>
              <w:framePr w:w="6946" w:h="2693" w:wrap="none" w:vAnchor="page" w:hAnchor="page" w:x="1033" w:y="989"/>
              <w:shd w:val="clear" w:color="auto" w:fill="auto"/>
              <w:spacing w:after="0" w:line="240" w:lineRule="auto"/>
              <w:jc w:val="left"/>
              <w:rPr>
                <w:sz w:val="15"/>
                <w:szCs w:val="15"/>
              </w:rPr>
            </w:pPr>
            <w:proofErr w:type="spellStart"/>
            <w:r>
              <w:rPr>
                <w:sz w:val="15"/>
                <w:szCs w:val="15"/>
              </w:rPr>
              <w:t>Lexis</w:t>
            </w:r>
            <w:proofErr w:type="spellEnd"/>
            <w:r>
              <w:rPr>
                <w:sz w:val="15"/>
                <w:szCs w:val="15"/>
              </w:rPr>
              <w:t xml:space="preserve"> </w:t>
            </w:r>
            <w:proofErr w:type="spellStart"/>
            <w:r>
              <w:rPr>
                <w:sz w:val="15"/>
                <w:szCs w:val="15"/>
              </w:rPr>
              <w:t>Nexis</w:t>
            </w:r>
            <w:proofErr w:type="spellEnd"/>
          </w:p>
        </w:tc>
        <w:tc>
          <w:tcPr>
            <w:tcW w:w="2174" w:type="dxa"/>
            <w:tcBorders>
              <w:top w:val="single" w:sz="4" w:space="0" w:color="auto"/>
              <w:left w:val="single" w:sz="4" w:space="0" w:color="auto"/>
            </w:tcBorders>
            <w:shd w:val="clear" w:color="auto" w:fill="FFFFFF"/>
            <w:vAlign w:val="bottom"/>
          </w:tcPr>
          <w:p w14:paraId="0CD29274" w14:textId="77777777" w:rsidR="00845B18" w:rsidRDefault="00000000">
            <w:pPr>
              <w:pStyle w:val="Jin0"/>
              <w:framePr w:w="6946" w:h="2693" w:wrap="none" w:vAnchor="page" w:hAnchor="page" w:x="1033" w:y="989"/>
              <w:shd w:val="clear" w:color="auto" w:fill="auto"/>
              <w:spacing w:after="0" w:line="240" w:lineRule="auto"/>
              <w:jc w:val="left"/>
              <w:rPr>
                <w:sz w:val="15"/>
                <w:szCs w:val="15"/>
              </w:rPr>
            </w:pPr>
            <w:r>
              <w:rPr>
                <w:sz w:val="15"/>
                <w:szCs w:val="15"/>
              </w:rPr>
              <w:t>Nizozemsko</w:t>
            </w:r>
          </w:p>
        </w:tc>
        <w:tc>
          <w:tcPr>
            <w:tcW w:w="2179" w:type="dxa"/>
            <w:tcBorders>
              <w:top w:val="single" w:sz="4" w:space="0" w:color="auto"/>
              <w:left w:val="single" w:sz="4" w:space="0" w:color="auto"/>
            </w:tcBorders>
            <w:shd w:val="clear" w:color="auto" w:fill="FFFFFF"/>
            <w:vAlign w:val="bottom"/>
          </w:tcPr>
          <w:p w14:paraId="054935E0" w14:textId="77777777" w:rsidR="00845B18" w:rsidRDefault="00000000">
            <w:pPr>
              <w:pStyle w:val="Jin0"/>
              <w:framePr w:w="6946" w:h="2693" w:wrap="none" w:vAnchor="page" w:hAnchor="page" w:x="1033" w:y="989"/>
              <w:shd w:val="clear" w:color="auto" w:fill="auto"/>
              <w:spacing w:after="0" w:line="240" w:lineRule="auto"/>
              <w:jc w:val="left"/>
              <w:rPr>
                <w:sz w:val="15"/>
                <w:szCs w:val="15"/>
              </w:rPr>
            </w:pPr>
            <w:proofErr w:type="spellStart"/>
            <w:r>
              <w:rPr>
                <w:sz w:val="15"/>
                <w:szCs w:val="15"/>
              </w:rPr>
              <w:t>Reed</w:t>
            </w:r>
            <w:proofErr w:type="spellEnd"/>
            <w:r>
              <w:rPr>
                <w:sz w:val="15"/>
                <w:szCs w:val="15"/>
              </w:rPr>
              <w:t xml:space="preserve"> </w:t>
            </w:r>
            <w:proofErr w:type="spellStart"/>
            <w:r>
              <w:rPr>
                <w:sz w:val="15"/>
                <w:szCs w:val="15"/>
              </w:rPr>
              <w:t>Elsevier</w:t>
            </w:r>
            <w:proofErr w:type="spellEnd"/>
          </w:p>
        </w:tc>
        <w:tc>
          <w:tcPr>
            <w:tcW w:w="931" w:type="dxa"/>
            <w:tcBorders>
              <w:left w:val="single" w:sz="4" w:space="0" w:color="auto"/>
            </w:tcBorders>
            <w:shd w:val="clear" w:color="auto" w:fill="FFFFFF"/>
            <w:vAlign w:val="bottom"/>
          </w:tcPr>
          <w:p w14:paraId="64A47BA9" w14:textId="77777777" w:rsidR="00845B18" w:rsidRDefault="00000000">
            <w:pPr>
              <w:pStyle w:val="Jin0"/>
              <w:framePr w:w="6946" w:h="2693" w:wrap="none" w:vAnchor="page" w:hAnchor="page" w:x="1033" w:y="989"/>
              <w:shd w:val="clear" w:color="auto" w:fill="auto"/>
              <w:spacing w:after="0" w:line="240" w:lineRule="auto"/>
              <w:jc w:val="center"/>
              <w:rPr>
                <w:sz w:val="15"/>
                <w:szCs w:val="15"/>
              </w:rPr>
            </w:pPr>
            <w:r>
              <w:rPr>
                <w:sz w:val="15"/>
                <w:szCs w:val="15"/>
              </w:rPr>
              <w:t>3,1</w:t>
            </w:r>
          </w:p>
        </w:tc>
      </w:tr>
      <w:tr w:rsidR="00845B18" w14:paraId="0BE12588" w14:textId="77777777">
        <w:tblPrEx>
          <w:tblCellMar>
            <w:top w:w="0" w:type="dxa"/>
            <w:bottom w:w="0" w:type="dxa"/>
          </w:tblCellMar>
        </w:tblPrEx>
        <w:trPr>
          <w:trHeight w:hRule="exact" w:val="221"/>
        </w:trPr>
        <w:tc>
          <w:tcPr>
            <w:tcW w:w="1661" w:type="dxa"/>
            <w:shd w:val="clear" w:color="auto" w:fill="FFFFFF"/>
            <w:vAlign w:val="bottom"/>
          </w:tcPr>
          <w:p w14:paraId="5C1155E8" w14:textId="77777777" w:rsidR="00845B18" w:rsidRDefault="00000000">
            <w:pPr>
              <w:pStyle w:val="Jin0"/>
              <w:framePr w:w="6946" w:h="2693" w:wrap="none" w:vAnchor="page" w:hAnchor="page" w:x="1033" w:y="989"/>
              <w:shd w:val="clear" w:color="auto" w:fill="auto"/>
              <w:spacing w:after="0" w:line="240" w:lineRule="auto"/>
              <w:jc w:val="left"/>
              <w:rPr>
                <w:sz w:val="15"/>
                <w:szCs w:val="15"/>
              </w:rPr>
            </w:pPr>
            <w:r>
              <w:rPr>
                <w:sz w:val="15"/>
                <w:szCs w:val="15"/>
                <w:lang w:val="fr-FR" w:eastAsia="fr-FR" w:bidi="fr-FR"/>
              </w:rPr>
              <w:t>Bertelsmann</w:t>
            </w:r>
          </w:p>
        </w:tc>
        <w:tc>
          <w:tcPr>
            <w:tcW w:w="2174" w:type="dxa"/>
            <w:tcBorders>
              <w:top w:val="single" w:sz="4" w:space="0" w:color="auto"/>
              <w:left w:val="single" w:sz="4" w:space="0" w:color="auto"/>
            </w:tcBorders>
            <w:shd w:val="clear" w:color="auto" w:fill="FFFFFF"/>
            <w:vAlign w:val="bottom"/>
          </w:tcPr>
          <w:p w14:paraId="20198D49" w14:textId="77777777" w:rsidR="00845B18" w:rsidRDefault="00000000">
            <w:pPr>
              <w:pStyle w:val="Jin0"/>
              <w:framePr w:w="6946" w:h="2693" w:wrap="none" w:vAnchor="page" w:hAnchor="page" w:x="1033" w:y="989"/>
              <w:shd w:val="clear" w:color="auto" w:fill="auto"/>
              <w:spacing w:after="0" w:line="240" w:lineRule="auto"/>
              <w:jc w:val="left"/>
              <w:rPr>
                <w:sz w:val="15"/>
                <w:szCs w:val="15"/>
              </w:rPr>
            </w:pPr>
            <w:r>
              <w:rPr>
                <w:sz w:val="15"/>
                <w:szCs w:val="15"/>
              </w:rPr>
              <w:t>Německo</w:t>
            </w:r>
          </w:p>
        </w:tc>
        <w:tc>
          <w:tcPr>
            <w:tcW w:w="2179" w:type="dxa"/>
            <w:tcBorders>
              <w:top w:val="single" w:sz="4" w:space="0" w:color="auto"/>
              <w:left w:val="single" w:sz="4" w:space="0" w:color="auto"/>
            </w:tcBorders>
            <w:shd w:val="clear" w:color="auto" w:fill="FFFFFF"/>
            <w:vAlign w:val="bottom"/>
          </w:tcPr>
          <w:p w14:paraId="0F4DE17F" w14:textId="77777777" w:rsidR="00845B18" w:rsidRDefault="00000000">
            <w:pPr>
              <w:pStyle w:val="Jin0"/>
              <w:framePr w:w="6946" w:h="2693" w:wrap="none" w:vAnchor="page" w:hAnchor="page" w:x="1033" w:y="989"/>
              <w:shd w:val="clear" w:color="auto" w:fill="auto"/>
              <w:spacing w:after="0" w:line="240" w:lineRule="auto"/>
              <w:jc w:val="left"/>
              <w:rPr>
                <w:sz w:val="15"/>
                <w:szCs w:val="15"/>
              </w:rPr>
            </w:pPr>
            <w:r>
              <w:rPr>
                <w:sz w:val="15"/>
                <w:szCs w:val="15"/>
                <w:lang w:val="fr-FR" w:eastAsia="fr-FR" w:bidi="fr-FR"/>
              </w:rPr>
              <w:t xml:space="preserve">Bertelsmann </w:t>
            </w:r>
            <w:r>
              <w:rPr>
                <w:sz w:val="15"/>
                <w:szCs w:val="15"/>
              </w:rPr>
              <w:t>AG</w:t>
            </w:r>
          </w:p>
        </w:tc>
        <w:tc>
          <w:tcPr>
            <w:tcW w:w="931" w:type="dxa"/>
            <w:tcBorders>
              <w:top w:val="single" w:sz="4" w:space="0" w:color="auto"/>
              <w:left w:val="single" w:sz="4" w:space="0" w:color="auto"/>
            </w:tcBorders>
            <w:shd w:val="clear" w:color="auto" w:fill="FFFFFF"/>
            <w:vAlign w:val="bottom"/>
          </w:tcPr>
          <w:p w14:paraId="39D06C8D" w14:textId="77777777" w:rsidR="00845B18" w:rsidRDefault="00000000">
            <w:pPr>
              <w:pStyle w:val="Jin0"/>
              <w:framePr w:w="6946" w:h="2693" w:wrap="none" w:vAnchor="page" w:hAnchor="page" w:x="1033" w:y="989"/>
              <w:shd w:val="clear" w:color="auto" w:fill="auto"/>
              <w:spacing w:after="0" w:line="240" w:lineRule="auto"/>
              <w:jc w:val="center"/>
              <w:rPr>
                <w:sz w:val="15"/>
                <w:szCs w:val="15"/>
              </w:rPr>
            </w:pPr>
            <w:r>
              <w:rPr>
                <w:sz w:val="15"/>
                <w:szCs w:val="15"/>
              </w:rPr>
              <w:t>2,9</w:t>
            </w:r>
          </w:p>
        </w:tc>
      </w:tr>
      <w:tr w:rsidR="00845B18" w14:paraId="10B286B7" w14:textId="77777777">
        <w:tblPrEx>
          <w:tblCellMar>
            <w:top w:w="0" w:type="dxa"/>
            <w:bottom w:w="0" w:type="dxa"/>
          </w:tblCellMar>
        </w:tblPrEx>
        <w:trPr>
          <w:trHeight w:hRule="exact" w:val="230"/>
        </w:trPr>
        <w:tc>
          <w:tcPr>
            <w:tcW w:w="1661" w:type="dxa"/>
            <w:shd w:val="clear" w:color="auto" w:fill="FFFFFF"/>
            <w:vAlign w:val="bottom"/>
          </w:tcPr>
          <w:p w14:paraId="576990BF" w14:textId="77777777" w:rsidR="00845B18" w:rsidRDefault="00000000">
            <w:pPr>
              <w:pStyle w:val="Jin0"/>
              <w:framePr w:w="6946" w:h="2693" w:wrap="none" w:vAnchor="page" w:hAnchor="page" w:x="1033" w:y="989"/>
              <w:shd w:val="clear" w:color="auto" w:fill="auto"/>
              <w:spacing w:after="0" w:line="240" w:lineRule="auto"/>
              <w:jc w:val="left"/>
              <w:rPr>
                <w:sz w:val="15"/>
                <w:szCs w:val="15"/>
              </w:rPr>
            </w:pPr>
            <w:proofErr w:type="spellStart"/>
            <w:r>
              <w:rPr>
                <w:sz w:val="15"/>
                <w:szCs w:val="15"/>
              </w:rPr>
              <w:t>Elsevier</w:t>
            </w:r>
            <w:proofErr w:type="spellEnd"/>
            <w:r>
              <w:rPr>
                <w:sz w:val="15"/>
                <w:szCs w:val="15"/>
              </w:rPr>
              <w:t xml:space="preserve"> Science</w:t>
            </w:r>
          </w:p>
        </w:tc>
        <w:tc>
          <w:tcPr>
            <w:tcW w:w="2174" w:type="dxa"/>
            <w:tcBorders>
              <w:top w:val="single" w:sz="4" w:space="0" w:color="auto"/>
              <w:left w:val="single" w:sz="4" w:space="0" w:color="auto"/>
            </w:tcBorders>
            <w:shd w:val="clear" w:color="auto" w:fill="FFFFFF"/>
            <w:vAlign w:val="bottom"/>
          </w:tcPr>
          <w:p w14:paraId="07E2CE06" w14:textId="77777777" w:rsidR="00845B18" w:rsidRDefault="00000000">
            <w:pPr>
              <w:pStyle w:val="Jin0"/>
              <w:framePr w:w="6946" w:h="2693" w:wrap="none" w:vAnchor="page" w:hAnchor="page" w:x="1033" w:y="989"/>
              <w:shd w:val="clear" w:color="auto" w:fill="auto"/>
              <w:spacing w:after="0" w:line="240" w:lineRule="auto"/>
              <w:jc w:val="left"/>
              <w:rPr>
                <w:sz w:val="15"/>
                <w:szCs w:val="15"/>
              </w:rPr>
            </w:pPr>
            <w:r>
              <w:rPr>
                <w:sz w:val="15"/>
                <w:szCs w:val="15"/>
              </w:rPr>
              <w:t>Vel. Británie/Nizozemsko/USA</w:t>
            </w:r>
          </w:p>
        </w:tc>
        <w:tc>
          <w:tcPr>
            <w:tcW w:w="2179" w:type="dxa"/>
            <w:tcBorders>
              <w:top w:val="single" w:sz="4" w:space="0" w:color="auto"/>
              <w:left w:val="single" w:sz="4" w:space="0" w:color="auto"/>
            </w:tcBorders>
            <w:shd w:val="clear" w:color="auto" w:fill="FFFFFF"/>
            <w:vAlign w:val="bottom"/>
          </w:tcPr>
          <w:p w14:paraId="23067F78" w14:textId="77777777" w:rsidR="00845B18" w:rsidRDefault="00000000">
            <w:pPr>
              <w:pStyle w:val="Jin0"/>
              <w:framePr w:w="6946" w:h="2693" w:wrap="none" w:vAnchor="page" w:hAnchor="page" w:x="1033" w:y="989"/>
              <w:shd w:val="clear" w:color="auto" w:fill="auto"/>
              <w:spacing w:after="0" w:line="240" w:lineRule="auto"/>
              <w:jc w:val="left"/>
              <w:rPr>
                <w:sz w:val="15"/>
                <w:szCs w:val="15"/>
              </w:rPr>
            </w:pPr>
            <w:proofErr w:type="spellStart"/>
            <w:r>
              <w:rPr>
                <w:sz w:val="15"/>
                <w:szCs w:val="15"/>
              </w:rPr>
              <w:t>Reed</w:t>
            </w:r>
            <w:proofErr w:type="spellEnd"/>
            <w:r>
              <w:rPr>
                <w:sz w:val="15"/>
                <w:szCs w:val="15"/>
              </w:rPr>
              <w:t xml:space="preserve"> </w:t>
            </w:r>
            <w:proofErr w:type="spellStart"/>
            <w:r>
              <w:rPr>
                <w:sz w:val="15"/>
                <w:szCs w:val="15"/>
              </w:rPr>
              <w:t>Elsevier</w:t>
            </w:r>
            <w:proofErr w:type="spellEnd"/>
          </w:p>
        </w:tc>
        <w:tc>
          <w:tcPr>
            <w:tcW w:w="931" w:type="dxa"/>
            <w:tcBorders>
              <w:top w:val="single" w:sz="4" w:space="0" w:color="auto"/>
              <w:left w:val="single" w:sz="4" w:space="0" w:color="auto"/>
            </w:tcBorders>
            <w:shd w:val="clear" w:color="auto" w:fill="FFFFFF"/>
            <w:vAlign w:val="bottom"/>
          </w:tcPr>
          <w:p w14:paraId="4B54D66A" w14:textId="77777777" w:rsidR="00845B18" w:rsidRDefault="00000000">
            <w:pPr>
              <w:pStyle w:val="Jin0"/>
              <w:framePr w:w="6946" w:h="2693" w:wrap="none" w:vAnchor="page" w:hAnchor="page" w:x="1033" w:y="989"/>
              <w:shd w:val="clear" w:color="auto" w:fill="auto"/>
              <w:spacing w:after="0" w:line="240" w:lineRule="auto"/>
              <w:jc w:val="center"/>
              <w:rPr>
                <w:sz w:val="15"/>
                <w:szCs w:val="15"/>
              </w:rPr>
            </w:pPr>
            <w:r>
              <w:rPr>
                <w:sz w:val="15"/>
                <w:szCs w:val="15"/>
              </w:rPr>
              <w:t>2,4</w:t>
            </w:r>
          </w:p>
        </w:tc>
      </w:tr>
      <w:tr w:rsidR="00845B18" w14:paraId="4FD7B4F6" w14:textId="77777777">
        <w:tblPrEx>
          <w:tblCellMar>
            <w:top w:w="0" w:type="dxa"/>
            <w:bottom w:w="0" w:type="dxa"/>
          </w:tblCellMar>
        </w:tblPrEx>
        <w:trPr>
          <w:trHeight w:hRule="exact" w:val="226"/>
        </w:trPr>
        <w:tc>
          <w:tcPr>
            <w:tcW w:w="1661" w:type="dxa"/>
            <w:shd w:val="clear" w:color="auto" w:fill="FFFFFF"/>
            <w:vAlign w:val="bottom"/>
          </w:tcPr>
          <w:p w14:paraId="2BE6C4AB" w14:textId="77777777" w:rsidR="00845B18" w:rsidRDefault="00000000">
            <w:pPr>
              <w:pStyle w:val="Jin0"/>
              <w:framePr w:w="6946" w:h="2693" w:wrap="none" w:vAnchor="page" w:hAnchor="page" w:x="1033" w:y="989"/>
              <w:shd w:val="clear" w:color="auto" w:fill="auto"/>
              <w:spacing w:after="0" w:line="240" w:lineRule="auto"/>
              <w:jc w:val="left"/>
              <w:rPr>
                <w:sz w:val="15"/>
                <w:szCs w:val="15"/>
              </w:rPr>
            </w:pPr>
            <w:r>
              <w:rPr>
                <w:sz w:val="15"/>
                <w:szCs w:val="15"/>
                <w:lang w:val="fr-FR" w:eastAsia="fr-FR" w:bidi="fr-FR"/>
              </w:rPr>
              <w:t>Hachette Livre</w:t>
            </w:r>
          </w:p>
        </w:tc>
        <w:tc>
          <w:tcPr>
            <w:tcW w:w="2174" w:type="dxa"/>
            <w:tcBorders>
              <w:top w:val="single" w:sz="4" w:space="0" w:color="auto"/>
              <w:left w:val="single" w:sz="4" w:space="0" w:color="auto"/>
            </w:tcBorders>
            <w:shd w:val="clear" w:color="auto" w:fill="FFFFFF"/>
            <w:vAlign w:val="bottom"/>
          </w:tcPr>
          <w:p w14:paraId="4F1391B6" w14:textId="77777777" w:rsidR="00845B18" w:rsidRDefault="00000000">
            <w:pPr>
              <w:pStyle w:val="Jin0"/>
              <w:framePr w:w="6946" w:h="2693" w:wrap="none" w:vAnchor="page" w:hAnchor="page" w:x="1033" w:y="989"/>
              <w:shd w:val="clear" w:color="auto" w:fill="auto"/>
              <w:spacing w:after="0" w:line="240" w:lineRule="auto"/>
              <w:jc w:val="left"/>
              <w:rPr>
                <w:sz w:val="15"/>
                <w:szCs w:val="15"/>
              </w:rPr>
            </w:pPr>
            <w:r>
              <w:rPr>
                <w:sz w:val="15"/>
                <w:szCs w:val="15"/>
              </w:rPr>
              <w:t>Francie</w:t>
            </w:r>
          </w:p>
        </w:tc>
        <w:tc>
          <w:tcPr>
            <w:tcW w:w="2179" w:type="dxa"/>
            <w:tcBorders>
              <w:top w:val="single" w:sz="4" w:space="0" w:color="auto"/>
              <w:left w:val="single" w:sz="4" w:space="0" w:color="auto"/>
            </w:tcBorders>
            <w:shd w:val="clear" w:color="auto" w:fill="FFFFFF"/>
            <w:vAlign w:val="bottom"/>
          </w:tcPr>
          <w:p w14:paraId="3CC9D8CC" w14:textId="77777777" w:rsidR="00845B18" w:rsidRDefault="00000000">
            <w:pPr>
              <w:pStyle w:val="Jin0"/>
              <w:framePr w:w="6946" w:h="2693" w:wrap="none" w:vAnchor="page" w:hAnchor="page" w:x="1033" w:y="989"/>
              <w:shd w:val="clear" w:color="auto" w:fill="auto"/>
              <w:spacing w:after="0" w:line="240" w:lineRule="auto"/>
              <w:jc w:val="left"/>
              <w:rPr>
                <w:sz w:val="15"/>
                <w:szCs w:val="15"/>
              </w:rPr>
            </w:pPr>
            <w:r>
              <w:rPr>
                <w:sz w:val="15"/>
                <w:szCs w:val="15"/>
                <w:lang w:val="fr-FR" w:eastAsia="fr-FR" w:bidi="fr-FR"/>
              </w:rPr>
              <w:t>Lagardère</w:t>
            </w:r>
          </w:p>
        </w:tc>
        <w:tc>
          <w:tcPr>
            <w:tcW w:w="931" w:type="dxa"/>
            <w:tcBorders>
              <w:top w:val="single" w:sz="4" w:space="0" w:color="auto"/>
              <w:left w:val="single" w:sz="4" w:space="0" w:color="auto"/>
            </w:tcBorders>
            <w:shd w:val="clear" w:color="auto" w:fill="FFFFFF"/>
            <w:vAlign w:val="bottom"/>
          </w:tcPr>
          <w:p w14:paraId="268ED03E" w14:textId="77777777" w:rsidR="00845B18" w:rsidRDefault="00000000">
            <w:pPr>
              <w:pStyle w:val="Jin0"/>
              <w:framePr w:w="6946" w:h="2693" w:wrap="none" w:vAnchor="page" w:hAnchor="page" w:x="1033" w:y="989"/>
              <w:shd w:val="clear" w:color="auto" w:fill="auto"/>
              <w:spacing w:after="0" w:line="240" w:lineRule="auto"/>
              <w:jc w:val="center"/>
              <w:rPr>
                <w:sz w:val="15"/>
                <w:szCs w:val="15"/>
              </w:rPr>
            </w:pPr>
            <w:r>
              <w:rPr>
                <w:sz w:val="15"/>
                <w:szCs w:val="15"/>
              </w:rPr>
              <w:t>2,2</w:t>
            </w:r>
          </w:p>
        </w:tc>
      </w:tr>
      <w:tr w:rsidR="00845B18" w14:paraId="27EA525B" w14:textId="77777777">
        <w:tblPrEx>
          <w:tblCellMar>
            <w:top w:w="0" w:type="dxa"/>
            <w:bottom w:w="0" w:type="dxa"/>
          </w:tblCellMar>
        </w:tblPrEx>
        <w:trPr>
          <w:trHeight w:hRule="exact" w:val="235"/>
        </w:trPr>
        <w:tc>
          <w:tcPr>
            <w:tcW w:w="1661" w:type="dxa"/>
            <w:shd w:val="clear" w:color="auto" w:fill="FFFFFF"/>
            <w:vAlign w:val="center"/>
          </w:tcPr>
          <w:p w14:paraId="2146246D" w14:textId="77777777" w:rsidR="00845B18" w:rsidRDefault="00000000">
            <w:pPr>
              <w:pStyle w:val="Jin0"/>
              <w:framePr w:w="6946" w:h="2693" w:wrap="none" w:vAnchor="page" w:hAnchor="page" w:x="1033" w:y="989"/>
              <w:shd w:val="clear" w:color="auto" w:fill="auto"/>
              <w:spacing w:after="0" w:line="240" w:lineRule="auto"/>
              <w:jc w:val="left"/>
              <w:rPr>
                <w:sz w:val="15"/>
                <w:szCs w:val="15"/>
              </w:rPr>
            </w:pPr>
            <w:r>
              <w:rPr>
                <w:sz w:val="15"/>
                <w:szCs w:val="15"/>
                <w:lang w:val="fr-FR" w:eastAsia="fr-FR" w:bidi="fr-FR"/>
              </w:rPr>
              <w:t xml:space="preserve">McGraw-Hill </w:t>
            </w:r>
            <w:proofErr w:type="spellStart"/>
            <w:r>
              <w:rPr>
                <w:sz w:val="15"/>
                <w:szCs w:val="15"/>
                <w:lang w:val="fr-FR" w:eastAsia="fr-FR" w:bidi="fr-FR"/>
              </w:rPr>
              <w:t>Education</w:t>
            </w:r>
            <w:proofErr w:type="spellEnd"/>
          </w:p>
        </w:tc>
        <w:tc>
          <w:tcPr>
            <w:tcW w:w="2174" w:type="dxa"/>
            <w:tcBorders>
              <w:top w:val="single" w:sz="4" w:space="0" w:color="auto"/>
              <w:left w:val="single" w:sz="4" w:space="0" w:color="auto"/>
            </w:tcBorders>
            <w:shd w:val="clear" w:color="auto" w:fill="FFFFFF"/>
            <w:vAlign w:val="center"/>
          </w:tcPr>
          <w:p w14:paraId="1AF02205" w14:textId="77777777" w:rsidR="00845B18" w:rsidRDefault="00000000">
            <w:pPr>
              <w:pStyle w:val="Jin0"/>
              <w:framePr w:w="6946" w:h="2693" w:wrap="none" w:vAnchor="page" w:hAnchor="page" w:x="1033" w:y="989"/>
              <w:shd w:val="clear" w:color="auto" w:fill="auto"/>
              <w:spacing w:after="0" w:line="240" w:lineRule="auto"/>
              <w:jc w:val="left"/>
              <w:rPr>
                <w:sz w:val="15"/>
                <w:szCs w:val="15"/>
              </w:rPr>
            </w:pPr>
            <w:r>
              <w:rPr>
                <w:sz w:val="15"/>
                <w:szCs w:val="15"/>
              </w:rPr>
              <w:t>USA</w:t>
            </w:r>
          </w:p>
        </w:tc>
        <w:tc>
          <w:tcPr>
            <w:tcW w:w="2179" w:type="dxa"/>
            <w:tcBorders>
              <w:top w:val="single" w:sz="4" w:space="0" w:color="auto"/>
              <w:left w:val="single" w:sz="4" w:space="0" w:color="auto"/>
            </w:tcBorders>
            <w:shd w:val="clear" w:color="auto" w:fill="FFFFFF"/>
            <w:vAlign w:val="center"/>
          </w:tcPr>
          <w:p w14:paraId="0955EB0B" w14:textId="77777777" w:rsidR="00845B18" w:rsidRDefault="00000000">
            <w:pPr>
              <w:pStyle w:val="Jin0"/>
              <w:framePr w:w="6946" w:h="2693" w:wrap="none" w:vAnchor="page" w:hAnchor="page" w:x="1033" w:y="989"/>
              <w:shd w:val="clear" w:color="auto" w:fill="auto"/>
              <w:spacing w:after="0" w:line="240" w:lineRule="auto"/>
              <w:jc w:val="left"/>
              <w:rPr>
                <w:sz w:val="15"/>
                <w:szCs w:val="15"/>
              </w:rPr>
            </w:pPr>
            <w:proofErr w:type="spellStart"/>
            <w:r>
              <w:rPr>
                <w:sz w:val="15"/>
                <w:szCs w:val="15"/>
              </w:rPr>
              <w:t>The</w:t>
            </w:r>
            <w:proofErr w:type="spellEnd"/>
            <w:r>
              <w:rPr>
                <w:sz w:val="15"/>
                <w:szCs w:val="15"/>
              </w:rPr>
              <w:t xml:space="preserve"> </w:t>
            </w:r>
            <w:r>
              <w:rPr>
                <w:sz w:val="15"/>
                <w:szCs w:val="15"/>
                <w:lang w:val="fr-FR" w:eastAsia="fr-FR" w:bidi="fr-FR"/>
              </w:rPr>
              <w:t xml:space="preserve">McGraw-Hill </w:t>
            </w:r>
            <w:proofErr w:type="spellStart"/>
            <w:r>
              <w:rPr>
                <w:sz w:val="15"/>
                <w:szCs w:val="15"/>
              </w:rPr>
              <w:t>Companies</w:t>
            </w:r>
            <w:proofErr w:type="spellEnd"/>
          </w:p>
        </w:tc>
        <w:tc>
          <w:tcPr>
            <w:tcW w:w="931" w:type="dxa"/>
            <w:tcBorders>
              <w:left w:val="single" w:sz="4" w:space="0" w:color="auto"/>
            </w:tcBorders>
            <w:shd w:val="clear" w:color="auto" w:fill="FFFFFF"/>
            <w:vAlign w:val="center"/>
          </w:tcPr>
          <w:p w14:paraId="4026B493" w14:textId="77777777" w:rsidR="00845B18" w:rsidRDefault="00000000">
            <w:pPr>
              <w:pStyle w:val="Jin0"/>
              <w:framePr w:w="6946" w:h="2693" w:wrap="none" w:vAnchor="page" w:hAnchor="page" w:x="1033" w:y="989"/>
              <w:shd w:val="clear" w:color="auto" w:fill="auto"/>
              <w:spacing w:after="0" w:line="240" w:lineRule="auto"/>
              <w:jc w:val="center"/>
              <w:rPr>
                <w:sz w:val="15"/>
                <w:szCs w:val="15"/>
              </w:rPr>
            </w:pPr>
            <w:r>
              <w:rPr>
                <w:sz w:val="15"/>
                <w:szCs w:val="15"/>
              </w:rPr>
              <w:t>1,8</w:t>
            </w:r>
          </w:p>
        </w:tc>
      </w:tr>
    </w:tbl>
    <w:p w14:paraId="63663690" w14:textId="77777777" w:rsidR="00845B18" w:rsidRDefault="00000000">
      <w:pPr>
        <w:pStyle w:val="Titulektabulky0"/>
        <w:framePr w:w="6994" w:h="158" w:hRule="exact" w:wrap="none" w:vAnchor="page" w:hAnchor="page" w:x="990" w:y="3725"/>
        <w:shd w:val="clear" w:color="auto" w:fill="auto"/>
        <w:spacing w:line="240" w:lineRule="auto"/>
        <w:ind w:left="0" w:firstLine="0"/>
        <w:jc w:val="center"/>
        <w:rPr>
          <w:sz w:val="12"/>
          <w:szCs w:val="12"/>
        </w:rPr>
      </w:pPr>
      <w:r>
        <w:rPr>
          <w:rFonts w:ascii="Arial" w:eastAsia="Arial" w:hAnsi="Arial" w:cs="Arial"/>
          <w:sz w:val="12"/>
          <w:szCs w:val="12"/>
        </w:rPr>
        <w:t xml:space="preserve">Zdroj: </w:t>
      </w:r>
      <w:r>
        <w:rPr>
          <w:rFonts w:ascii="Arial" w:eastAsia="Arial" w:hAnsi="Arial" w:cs="Arial"/>
          <w:i/>
          <w:iCs/>
          <w:sz w:val="12"/>
          <w:szCs w:val="12"/>
          <w:lang w:val="fr-FR" w:eastAsia="fr-FR" w:bidi="fr-FR"/>
        </w:rPr>
        <w:t xml:space="preserve">Livres </w:t>
      </w:r>
      <w:proofErr w:type="spellStart"/>
      <w:r>
        <w:rPr>
          <w:rFonts w:ascii="Arial" w:eastAsia="Arial" w:hAnsi="Arial" w:cs="Arial"/>
          <w:i/>
          <w:iCs/>
          <w:sz w:val="12"/>
          <w:szCs w:val="12"/>
        </w:rPr>
        <w:t>Hebdo</w:t>
      </w:r>
      <w:proofErr w:type="spellEnd"/>
      <w:r>
        <w:rPr>
          <w:rFonts w:ascii="Arial" w:eastAsia="Arial" w:hAnsi="Arial" w:cs="Arial"/>
          <w:sz w:val="12"/>
          <w:szCs w:val="12"/>
        </w:rPr>
        <w:t xml:space="preserve"> (2010-</w:t>
      </w:r>
      <w:proofErr w:type="gramStart"/>
      <w:r>
        <w:rPr>
          <w:rFonts w:ascii="Arial" w:eastAsia="Arial" w:hAnsi="Arial" w:cs="Arial"/>
          <w:sz w:val="12"/>
          <w:szCs w:val="12"/>
        </w:rPr>
        <w:t>2011 )</w:t>
      </w:r>
      <w:proofErr w:type="gramEnd"/>
    </w:p>
    <w:p w14:paraId="6348136B" w14:textId="77777777" w:rsidR="00845B18" w:rsidRDefault="00000000">
      <w:pPr>
        <w:pStyle w:val="Zkladntext20"/>
        <w:framePr w:w="6994" w:h="7488" w:hRule="exact" w:wrap="none" w:vAnchor="page" w:hAnchor="page" w:x="990" w:y="4085"/>
        <w:shd w:val="clear" w:color="auto" w:fill="auto"/>
        <w:spacing w:after="120" w:line="288" w:lineRule="auto"/>
        <w:rPr>
          <w:sz w:val="18"/>
          <w:szCs w:val="18"/>
        </w:rPr>
      </w:pPr>
      <w:r>
        <w:rPr>
          <w:sz w:val="18"/>
          <w:szCs w:val="18"/>
        </w:rPr>
        <w:t xml:space="preserve">Všimnout </w:t>
      </w:r>
      <w:r>
        <w:rPr>
          <w:sz w:val="18"/>
          <w:szCs w:val="18"/>
          <w:lang w:val="fr-FR" w:eastAsia="fr-FR" w:bidi="fr-FR"/>
        </w:rPr>
        <w:t xml:space="preserve">si </w:t>
      </w:r>
      <w:r>
        <w:rPr>
          <w:sz w:val="18"/>
          <w:szCs w:val="18"/>
        </w:rPr>
        <w:t>lze převahy tří zemí: USA, Velké Británie a Nizozemska, přičemž údaje o ročním obratu se zdaleka netýkají jen prodeje knih — patří k nim i jiné aktivity (novi</w:t>
      </w:r>
      <w:r>
        <w:rPr>
          <w:sz w:val="18"/>
          <w:szCs w:val="18"/>
        </w:rPr>
        <w:softHyphen/>
        <w:t xml:space="preserve">ny, časopisy, provozování televize, rozhlasu, různých agentur ad.). Tři největší americká nakladatelství vlastní evropští majitelé: </w:t>
      </w:r>
      <w:proofErr w:type="spellStart"/>
      <w:r>
        <w:rPr>
          <w:sz w:val="18"/>
          <w:szCs w:val="18"/>
        </w:rPr>
        <w:t>Random</w:t>
      </w:r>
      <w:proofErr w:type="spellEnd"/>
      <w:r>
        <w:rPr>
          <w:sz w:val="18"/>
          <w:szCs w:val="18"/>
        </w:rPr>
        <w:t xml:space="preserve"> House </w:t>
      </w:r>
      <w:r>
        <w:rPr>
          <w:sz w:val="18"/>
          <w:szCs w:val="18"/>
          <w:lang w:val="fr-FR" w:eastAsia="fr-FR" w:bidi="fr-FR"/>
        </w:rPr>
        <w:t xml:space="preserve">(Bertelsmann), </w:t>
      </w:r>
      <w:proofErr w:type="spellStart"/>
      <w:r>
        <w:rPr>
          <w:sz w:val="18"/>
          <w:szCs w:val="18"/>
        </w:rPr>
        <w:t>Penguin</w:t>
      </w:r>
      <w:proofErr w:type="spellEnd"/>
      <w:r>
        <w:rPr>
          <w:sz w:val="18"/>
          <w:szCs w:val="18"/>
        </w:rPr>
        <w:t xml:space="preserve"> (</w:t>
      </w:r>
      <w:proofErr w:type="spellStart"/>
      <w:proofErr w:type="gramStart"/>
      <w:r>
        <w:rPr>
          <w:sz w:val="18"/>
          <w:szCs w:val="18"/>
        </w:rPr>
        <w:t>Pear</w:t>
      </w:r>
      <w:proofErr w:type="spellEnd"/>
      <w:r>
        <w:rPr>
          <w:sz w:val="18"/>
          <w:szCs w:val="18"/>
        </w:rPr>
        <w:t>- son</w:t>
      </w:r>
      <w:proofErr w:type="gramEnd"/>
      <w:r>
        <w:rPr>
          <w:sz w:val="18"/>
          <w:szCs w:val="18"/>
        </w:rPr>
        <w:t xml:space="preserve">), </w:t>
      </w:r>
      <w:r>
        <w:rPr>
          <w:sz w:val="18"/>
          <w:szCs w:val="18"/>
          <w:lang w:val="fr-FR" w:eastAsia="fr-FR" w:bidi="fr-FR"/>
        </w:rPr>
        <w:t xml:space="preserve">Hachette </w:t>
      </w:r>
      <w:proofErr w:type="spellStart"/>
      <w:r>
        <w:rPr>
          <w:sz w:val="18"/>
          <w:szCs w:val="18"/>
        </w:rPr>
        <w:t>Book</w:t>
      </w:r>
      <w:proofErr w:type="spellEnd"/>
      <w:r>
        <w:rPr>
          <w:sz w:val="18"/>
          <w:szCs w:val="18"/>
        </w:rPr>
        <w:t xml:space="preserve"> Group </w:t>
      </w:r>
      <w:r>
        <w:rPr>
          <w:sz w:val="18"/>
          <w:szCs w:val="18"/>
          <w:lang w:val="fr-FR" w:eastAsia="fr-FR" w:bidi="fr-FR"/>
        </w:rPr>
        <w:t>(Lagardère).</w:t>
      </w:r>
    </w:p>
    <w:p w14:paraId="5F1DD94B" w14:textId="77777777" w:rsidR="00845B18" w:rsidRDefault="00000000">
      <w:pPr>
        <w:pStyle w:val="Zkladntext20"/>
        <w:framePr w:w="6994" w:h="7488" w:hRule="exact" w:wrap="none" w:vAnchor="page" w:hAnchor="page" w:x="990" w:y="4085"/>
        <w:shd w:val="clear" w:color="auto" w:fill="auto"/>
        <w:spacing w:after="120" w:line="288" w:lineRule="auto"/>
        <w:rPr>
          <w:sz w:val="18"/>
          <w:szCs w:val="18"/>
        </w:rPr>
      </w:pPr>
      <w:r>
        <w:rPr>
          <w:sz w:val="18"/>
          <w:szCs w:val="18"/>
        </w:rPr>
        <w:t>Odhaduje se, že v poslední době každý rok vyšlo na světě asi milion titulů, z nichž o něco více než polovina připadá na země Evropské unie (ve Velké Británii vychází ročně kolem 130 000 titulů) a více než třetina je v angličtině. Přitom v roce 1960 vy</w:t>
      </w:r>
      <w:r>
        <w:rPr>
          <w:sz w:val="18"/>
          <w:szCs w:val="18"/>
        </w:rPr>
        <w:softHyphen/>
        <w:t xml:space="preserve">šlo na světě 332 000 titulů, v roce 1990 daný počet činil 842 000 titulů a v roce 2007 to bylo 976 000 titulů. Dynamika vynikne ještě patrněji, pokud </w:t>
      </w:r>
      <w:r>
        <w:rPr>
          <w:sz w:val="18"/>
          <w:szCs w:val="18"/>
          <w:lang w:val="fr-FR" w:eastAsia="fr-FR" w:bidi="fr-FR"/>
        </w:rPr>
        <w:t xml:space="preserve">si </w:t>
      </w:r>
      <w:r>
        <w:rPr>
          <w:sz w:val="18"/>
          <w:szCs w:val="18"/>
        </w:rPr>
        <w:t>ji promítneme zpět do minulosti: na počátku 30. let 20. století se odhadoval počet všech evidovaných knih na 12 milionů. Počet ročně vyprodukovaných výtisků (kopií) se v současné době odha</w:t>
      </w:r>
      <w:r>
        <w:rPr>
          <w:sz w:val="18"/>
          <w:szCs w:val="18"/>
        </w:rPr>
        <w:softHyphen/>
        <w:t>duje na 4 miliardy.</w:t>
      </w:r>
    </w:p>
    <w:p w14:paraId="172601E4" w14:textId="77777777" w:rsidR="00845B18" w:rsidRDefault="00000000">
      <w:pPr>
        <w:pStyle w:val="Zkladntext20"/>
        <w:framePr w:w="6994" w:h="7488" w:hRule="exact" w:wrap="none" w:vAnchor="page" w:hAnchor="page" w:x="990" w:y="4085"/>
        <w:shd w:val="clear" w:color="auto" w:fill="auto"/>
        <w:spacing w:after="0" w:line="290" w:lineRule="auto"/>
        <w:rPr>
          <w:sz w:val="18"/>
          <w:szCs w:val="18"/>
        </w:rPr>
      </w:pPr>
      <w:r>
        <w:rPr>
          <w:sz w:val="18"/>
          <w:szCs w:val="18"/>
        </w:rPr>
        <w:t>Změny, které na globální úrovni, ale především v USA sledujeme od 70. let minulého století, doznávají s příchodem 21. století na akceleraci. Knižní trh se globalizuje nejen co do vlastnické struktury nakladatelů a prodejců, ale i co do oběhu jednotlivých titulů. Průvodním jevem těchto procesů jsou tzv. globální bestsellery, tj. tituly, které se ve velmi krátké době daří přeložit do mnoha jazyků a které — i díky masivně nasazenému mar</w:t>
      </w:r>
      <w:r>
        <w:rPr>
          <w:sz w:val="18"/>
          <w:szCs w:val="18"/>
        </w:rPr>
        <w:softHyphen/>
        <w:t>ketingu — dosahují prodeje v řádů milionů. Nadto je titulů, které se prodávají ve výraz</w:t>
      </w:r>
      <w:r>
        <w:rPr>
          <w:sz w:val="18"/>
          <w:szCs w:val="18"/>
        </w:rPr>
        <w:softHyphen/>
        <w:t>ně vysokém nákladu, stále méně, tj. s klesajícím počtem globálních bestsellerů stoupají jejich prodeje. Těchto prodejů se dosahuje i díky synergii s filmem (zfilmované verze se často objevují jen s malým zpožděním za vydáním knižním), jakkoli — dodejme — ten</w:t>
      </w:r>
      <w:r>
        <w:rPr>
          <w:sz w:val="18"/>
          <w:szCs w:val="18"/>
        </w:rPr>
        <w:softHyphen/>
        <w:t xml:space="preserve">to efekt není nijak nový; lze ho sledovat už od 30. let minulého století. Z poslední vlny lze jmenovat </w:t>
      </w:r>
      <w:r>
        <w:rPr>
          <w:i/>
          <w:iCs/>
          <w:sz w:val="18"/>
          <w:szCs w:val="18"/>
        </w:rPr>
        <w:t>Harryho Pottera</w:t>
      </w:r>
      <w:r>
        <w:rPr>
          <w:sz w:val="18"/>
          <w:szCs w:val="18"/>
        </w:rPr>
        <w:t xml:space="preserve"> </w:t>
      </w:r>
      <w:r>
        <w:rPr>
          <w:sz w:val="18"/>
          <w:szCs w:val="18"/>
          <w:lang w:val="fr-FR" w:eastAsia="fr-FR" w:bidi="fr-FR"/>
        </w:rPr>
        <w:t xml:space="preserve">(J. </w:t>
      </w:r>
      <w:r>
        <w:rPr>
          <w:sz w:val="18"/>
          <w:szCs w:val="18"/>
        </w:rPr>
        <w:t xml:space="preserve">K. Rowlingová), přičemž v knižní branži se ustálil pro rok, kdy vyšel jeden ze sedmi dílů, termín „rok </w:t>
      </w:r>
      <w:r>
        <w:rPr>
          <w:i/>
          <w:iCs/>
          <w:sz w:val="18"/>
          <w:szCs w:val="18"/>
        </w:rPr>
        <w:t>Harryho Pottera“.</w:t>
      </w:r>
      <w:r>
        <w:rPr>
          <w:sz w:val="18"/>
          <w:szCs w:val="18"/>
        </w:rPr>
        <w:t xml:space="preserve"> Dále jsou to romány D. Browna, </w:t>
      </w:r>
      <w:r>
        <w:rPr>
          <w:sz w:val="18"/>
          <w:szCs w:val="18"/>
          <w:lang w:val="fr-FR" w:eastAsia="fr-FR" w:bidi="fr-FR"/>
        </w:rPr>
        <w:t xml:space="preserve">P. </w:t>
      </w:r>
      <w:r>
        <w:rPr>
          <w:sz w:val="18"/>
          <w:szCs w:val="18"/>
        </w:rPr>
        <w:t xml:space="preserve">Coelha, </w:t>
      </w:r>
      <w:r>
        <w:rPr>
          <w:sz w:val="18"/>
          <w:szCs w:val="18"/>
          <w:lang w:val="fr-FR" w:eastAsia="fr-FR" w:bidi="fr-FR"/>
        </w:rPr>
        <w:t xml:space="preserve">S. </w:t>
      </w:r>
      <w:r>
        <w:rPr>
          <w:sz w:val="18"/>
          <w:szCs w:val="18"/>
        </w:rPr>
        <w:t>Kinga, D. Steel(</w:t>
      </w:r>
      <w:proofErr w:type="spellStart"/>
      <w:r>
        <w:rPr>
          <w:sz w:val="18"/>
          <w:szCs w:val="18"/>
        </w:rPr>
        <w:t>ové</w:t>
      </w:r>
      <w:proofErr w:type="spellEnd"/>
      <w:r>
        <w:rPr>
          <w:sz w:val="18"/>
          <w:szCs w:val="18"/>
        </w:rPr>
        <w:t xml:space="preserve">), S. </w:t>
      </w:r>
      <w:proofErr w:type="spellStart"/>
      <w:r>
        <w:rPr>
          <w:sz w:val="18"/>
          <w:szCs w:val="18"/>
        </w:rPr>
        <w:t>Larssona</w:t>
      </w:r>
      <w:proofErr w:type="spellEnd"/>
      <w:r>
        <w:rPr>
          <w:sz w:val="18"/>
          <w:szCs w:val="18"/>
        </w:rPr>
        <w:t xml:space="preserve"> ad. Například </w:t>
      </w:r>
      <w:proofErr w:type="spellStart"/>
      <w:r>
        <w:rPr>
          <w:sz w:val="18"/>
          <w:szCs w:val="18"/>
        </w:rPr>
        <w:t>Brownůvromán</w:t>
      </w:r>
      <w:proofErr w:type="spellEnd"/>
      <w:r>
        <w:rPr>
          <w:sz w:val="18"/>
          <w:szCs w:val="18"/>
        </w:rPr>
        <w:t xml:space="preserve"> </w:t>
      </w:r>
      <w:r>
        <w:rPr>
          <w:i/>
          <w:iCs/>
          <w:sz w:val="18"/>
          <w:szCs w:val="18"/>
        </w:rPr>
        <w:t xml:space="preserve">Da </w:t>
      </w:r>
      <w:proofErr w:type="spellStart"/>
      <w:r>
        <w:rPr>
          <w:i/>
          <w:iCs/>
          <w:sz w:val="18"/>
          <w:szCs w:val="18"/>
        </w:rPr>
        <w:t>Vinciho</w:t>
      </w:r>
      <w:proofErr w:type="spellEnd"/>
      <w:r>
        <w:rPr>
          <w:i/>
          <w:iCs/>
          <w:sz w:val="18"/>
          <w:szCs w:val="18"/>
        </w:rPr>
        <w:t xml:space="preserve"> kód</w:t>
      </w:r>
      <w:r>
        <w:rPr>
          <w:sz w:val="18"/>
          <w:szCs w:val="18"/>
        </w:rPr>
        <w:t xml:space="preserve"> byl do konce roku 2012 přeložen do 52 jazyků a prodalo se ho celkem dvě stě milionů výtisků. Prvním autorem, který dosáhl milionu prodaných e-knih na největším internetovém knihkupectví Amazon.com, byl </w:t>
      </w:r>
      <w:proofErr w:type="spellStart"/>
      <w:r>
        <w:rPr>
          <w:sz w:val="18"/>
          <w:szCs w:val="18"/>
        </w:rPr>
        <w:t>Stieg</w:t>
      </w:r>
      <w:proofErr w:type="spellEnd"/>
      <w:r>
        <w:rPr>
          <w:sz w:val="18"/>
          <w:szCs w:val="18"/>
        </w:rPr>
        <w:t xml:space="preserve"> </w:t>
      </w:r>
      <w:proofErr w:type="spellStart"/>
      <w:r>
        <w:rPr>
          <w:sz w:val="18"/>
          <w:szCs w:val="18"/>
        </w:rPr>
        <w:t>Larsson</w:t>
      </w:r>
      <w:proofErr w:type="spellEnd"/>
      <w:r>
        <w:rPr>
          <w:sz w:val="18"/>
          <w:szCs w:val="18"/>
        </w:rPr>
        <w:t>.</w:t>
      </w:r>
    </w:p>
    <w:p w14:paraId="28235408" w14:textId="77777777" w:rsidR="00845B18" w:rsidRDefault="00845B18">
      <w:pPr>
        <w:spacing w:line="14" w:lineRule="exact"/>
        <w:sectPr w:rsidR="00845B18">
          <w:pgSz w:w="8400" w:h="11900"/>
          <w:pgMar w:top="360" w:right="360" w:bottom="360" w:left="360" w:header="0" w:footer="3" w:gutter="0"/>
          <w:cols w:space="720"/>
          <w:noEndnote/>
          <w:docGrid w:linePitch="360"/>
        </w:sectPr>
      </w:pPr>
    </w:p>
    <w:p w14:paraId="6E5B8654" w14:textId="77777777" w:rsidR="00845B18" w:rsidRDefault="00000000">
      <w:pPr>
        <w:spacing w:line="14" w:lineRule="exact"/>
      </w:pPr>
      <w:r>
        <w:rPr>
          <w:noProof/>
        </w:rPr>
        <w:lastRenderedPageBreak/>
        <mc:AlternateContent>
          <mc:Choice Requires="wps">
            <w:drawing>
              <wp:anchor distT="0" distB="0" distL="114300" distR="114300" simplePos="0" relativeHeight="251651072" behindDoc="1" locked="0" layoutInCell="1" allowOverlap="1" wp14:anchorId="5E0BA78B" wp14:editId="00276361">
                <wp:simplePos x="0" y="0"/>
                <wp:positionH relativeFrom="page">
                  <wp:posOffset>411480</wp:posOffset>
                </wp:positionH>
                <wp:positionV relativeFrom="page">
                  <wp:posOffset>297815</wp:posOffset>
                </wp:positionV>
                <wp:extent cx="4264025" cy="0"/>
                <wp:effectExtent l="0" t="0" r="0" b="0"/>
                <wp:wrapNone/>
                <wp:docPr id="8" name="Shape 8"/>
                <wp:cNvGraphicFramePr/>
                <a:graphic xmlns:a="http://schemas.openxmlformats.org/drawingml/2006/main">
                  <a:graphicData uri="http://schemas.microsoft.com/office/word/2010/wordprocessingShape">
                    <wps:wsp>
                      <wps:cNvCnPr/>
                      <wps:spPr>
                        <a:xfrm>
                          <a:off x="0" y="0"/>
                          <a:ext cx="4264025" cy="0"/>
                        </a:xfrm>
                        <a:prstGeom prst="straightConnector1">
                          <a:avLst/>
                        </a:prstGeom>
                        <a:ln w="8890">
                          <a:solidFill/>
                        </a:ln>
                      </wps:spPr>
                      <wps:bodyPr/>
                    </wps:wsp>
                  </a:graphicData>
                </a:graphic>
              </wp:anchor>
            </w:drawing>
          </mc:Choice>
          <mc:Fallback>
            <w:pict>
              <v:shape o:spt="32" o:oned="1" path="m,l21600,21600e" style="position:absolute;margin-left:32.399999999999999pt;margin-top:23.449999999999999pt;width:335.75pt;height:0;z-index:-251658240;mso-position-horizontal-relative:page;mso-position-vertical-relative:page">
                <v:stroke weight="0.69999999999999996pt"/>
              </v:shape>
            </w:pict>
          </mc:Fallback>
        </mc:AlternateContent>
      </w:r>
    </w:p>
    <w:p w14:paraId="483D3309" w14:textId="77777777" w:rsidR="00845B18" w:rsidRDefault="00000000">
      <w:pPr>
        <w:pStyle w:val="Zhlavnebozpat0"/>
        <w:framePr w:wrap="none" w:vAnchor="page" w:hAnchor="page" w:x="3750" w:y="139"/>
        <w:shd w:val="clear" w:color="auto" w:fill="auto"/>
        <w:rPr>
          <w:sz w:val="18"/>
          <w:szCs w:val="18"/>
        </w:rPr>
      </w:pPr>
      <w:r>
        <w:rPr>
          <w:sz w:val="18"/>
          <w:szCs w:val="18"/>
        </w:rPr>
        <w:t>[i7l</w:t>
      </w:r>
    </w:p>
    <w:p w14:paraId="6EDBB71C" w14:textId="77777777" w:rsidR="00845B18" w:rsidRDefault="00000000">
      <w:pPr>
        <w:pStyle w:val="Zkladntext20"/>
        <w:framePr w:w="6965" w:h="9456" w:hRule="exact" w:wrap="none" w:vAnchor="page" w:hAnchor="page" w:x="433" w:y="638"/>
        <w:shd w:val="clear" w:color="auto" w:fill="auto"/>
        <w:spacing w:after="120" w:line="290" w:lineRule="auto"/>
        <w:rPr>
          <w:sz w:val="18"/>
          <w:szCs w:val="18"/>
        </w:rPr>
      </w:pPr>
      <w:r>
        <w:rPr>
          <w:sz w:val="18"/>
          <w:szCs w:val="18"/>
        </w:rPr>
        <w:t>Nárůst globalizace jde ruku v ruce s expanzí hlavního globalizačního jazyka — ang</w:t>
      </w:r>
      <w:r>
        <w:rPr>
          <w:sz w:val="18"/>
          <w:szCs w:val="18"/>
        </w:rPr>
        <w:softHyphen/>
        <w:t xml:space="preserve">ličtiny. V jednotlivých neanglicky mluvících zemích překlady z tohoto jazyka neustále narůstají; například v Německu tvoří v poslední době překlady z angličtiny kolem dvou I retin všech překladů. Přitom naopak v USA nebo Velké Británii se překlady ze všech jazyků dlouhodobě pohybují jenom mezi dvěma až třemi procenty. Nezřídka se v této souvislosti mluví o „agresivní </w:t>
      </w:r>
      <w:proofErr w:type="spellStart"/>
      <w:r>
        <w:rPr>
          <w:sz w:val="18"/>
          <w:szCs w:val="18"/>
        </w:rPr>
        <w:t>marketingizaci</w:t>
      </w:r>
      <w:proofErr w:type="spellEnd"/>
      <w:r>
        <w:rPr>
          <w:sz w:val="18"/>
          <w:szCs w:val="18"/>
        </w:rPr>
        <w:t>“ či „mcdonaldizaci“ knižního trhu, ba do</w:t>
      </w:r>
      <w:r>
        <w:rPr>
          <w:sz w:val="18"/>
          <w:szCs w:val="18"/>
        </w:rPr>
        <w:softHyphen/>
        <w:t xml:space="preserve">konce o svého druhu cenzuře. V této souvislosti se též zmiňuje fakt, že Spojené státy sice mají největší trh, ale tento trh je orientován spíše na producenty (a zisky) než na čtenáře, proti tomu trh evropský je z hlediska nabídky čtenářům daleko pestřejší. Někteří autoři dokonce tvrdí, že anglosaský knižní trh je „ve vztahu k cizině imperialistický a ve vztahu k domovu xenofobní“ (L. </w:t>
      </w:r>
      <w:proofErr w:type="spellStart"/>
      <w:r>
        <w:rPr>
          <w:sz w:val="18"/>
          <w:szCs w:val="18"/>
        </w:rPr>
        <w:t>Venuti</w:t>
      </w:r>
      <w:proofErr w:type="spellEnd"/>
      <w:r>
        <w:rPr>
          <w:sz w:val="18"/>
          <w:szCs w:val="18"/>
        </w:rPr>
        <w:t>).</w:t>
      </w:r>
      <w:r>
        <w:rPr>
          <w:sz w:val="18"/>
          <w:szCs w:val="18"/>
          <w:vertAlign w:val="superscript"/>
        </w:rPr>
        <w:t>3</w:t>
      </w:r>
      <w:r>
        <w:rPr>
          <w:sz w:val="18"/>
          <w:szCs w:val="18"/>
        </w:rPr>
        <w:t>)</w:t>
      </w:r>
    </w:p>
    <w:p w14:paraId="7E0C9B03" w14:textId="77777777" w:rsidR="00845B18" w:rsidRDefault="00000000">
      <w:pPr>
        <w:pStyle w:val="Zkladntext20"/>
        <w:framePr w:w="6965" w:h="9456" w:hRule="exact" w:wrap="none" w:vAnchor="page" w:hAnchor="page" w:x="433" w:y="638"/>
        <w:shd w:val="clear" w:color="auto" w:fill="auto"/>
        <w:spacing w:after="120" w:line="290" w:lineRule="auto"/>
        <w:rPr>
          <w:sz w:val="18"/>
          <w:szCs w:val="18"/>
        </w:rPr>
      </w:pPr>
      <w:r>
        <w:rPr>
          <w:sz w:val="18"/>
          <w:szCs w:val="18"/>
        </w:rPr>
        <w:t>Velkým problémem současného knižního trhu, jejž nadto umocnila digitální éra, je pirát</w:t>
      </w:r>
      <w:r>
        <w:rPr>
          <w:sz w:val="18"/>
          <w:szCs w:val="18"/>
        </w:rPr>
        <w:softHyphen/>
        <w:t>ství. Stoupenci volného internetu dokonce prohlašují, že právo na informaci a její volné šíření má každý a že model autorského práva, jak se rozvinul v 19. století, se již přežil. Fran</w:t>
      </w:r>
      <w:r>
        <w:rPr>
          <w:sz w:val="18"/>
          <w:szCs w:val="18"/>
        </w:rPr>
        <w:softHyphen/>
        <w:t>couzské výzkumy ukazují, že mezi volně staženými tituly a tituly nejprodávanějšími nepa</w:t>
      </w:r>
      <w:r>
        <w:rPr>
          <w:sz w:val="18"/>
          <w:szCs w:val="18"/>
        </w:rPr>
        <w:softHyphen/>
        <w:t xml:space="preserve">nuje korelace. Nejvíce se totiž stahují knihy naučné. Kromě této nové formy pirátství stále kvete i forma stará — nelegální šíření tištěných knih. Za největší hříšníky na tomto poli se považují Čína, Írán a Egypt. Paulo Coelho, jeden z největších </w:t>
      </w:r>
      <w:proofErr w:type="spellStart"/>
      <w:r>
        <w:rPr>
          <w:sz w:val="18"/>
          <w:szCs w:val="18"/>
        </w:rPr>
        <w:t>bestselleristů</w:t>
      </w:r>
      <w:proofErr w:type="spellEnd"/>
      <w:r>
        <w:rPr>
          <w:sz w:val="18"/>
          <w:szCs w:val="18"/>
        </w:rPr>
        <w:t xml:space="preserve"> současné doby, své cesty do cizích zemí spojuje s bojem proti nelegálnímu šíření svých knih, tzn. proti lomu, že mu unikají nemalé zisky. Například jenom v Íránu vyšla do roku 2004 jeho nej</w:t>
      </w:r>
      <w:r>
        <w:rPr>
          <w:sz w:val="18"/>
          <w:szCs w:val="18"/>
        </w:rPr>
        <w:softHyphen/>
        <w:t xml:space="preserve">slavnější kniha </w:t>
      </w:r>
      <w:r>
        <w:rPr>
          <w:i/>
          <w:iCs/>
          <w:sz w:val="18"/>
          <w:szCs w:val="18"/>
        </w:rPr>
        <w:t>Alchymista</w:t>
      </w:r>
      <w:r>
        <w:rPr>
          <w:sz w:val="18"/>
          <w:szCs w:val="18"/>
        </w:rPr>
        <w:t xml:space="preserve"> v 27 nelegálních vydáních. Brazilský autor se tomu snaží bránit například tím, že vydání románu </w:t>
      </w:r>
      <w:proofErr w:type="spellStart"/>
      <w:r>
        <w:rPr>
          <w:i/>
          <w:iCs/>
          <w:sz w:val="18"/>
          <w:szCs w:val="18"/>
        </w:rPr>
        <w:t>Záhir</w:t>
      </w:r>
      <w:proofErr w:type="spellEnd"/>
      <w:r>
        <w:rPr>
          <w:sz w:val="18"/>
          <w:szCs w:val="18"/>
        </w:rPr>
        <w:t xml:space="preserve"> (2004) naplánoval tak, aby nejdříve vyšel v Íránu. Zabránit nelegálnímu šíření se sice podařilo, ale kniha byla konfiskována mravnostní po</w:t>
      </w:r>
      <w:r>
        <w:rPr>
          <w:sz w:val="18"/>
          <w:szCs w:val="18"/>
        </w:rPr>
        <w:softHyphen/>
        <w:t>licií; zákaz byl však za dva dny — poté co informace pronikla do světa — odvolán.</w:t>
      </w:r>
      <w:r>
        <w:rPr>
          <w:sz w:val="18"/>
          <w:szCs w:val="18"/>
          <w:vertAlign w:val="superscript"/>
        </w:rPr>
        <w:t>4</w:t>
      </w:r>
      <w:r>
        <w:rPr>
          <w:sz w:val="18"/>
          <w:szCs w:val="18"/>
        </w:rPr>
        <w:t>)</w:t>
      </w:r>
    </w:p>
    <w:p w14:paraId="44A3CD62" w14:textId="77777777" w:rsidR="00845B18" w:rsidRDefault="00000000">
      <w:pPr>
        <w:pStyle w:val="Zkladntext20"/>
        <w:framePr w:w="6965" w:h="9456" w:hRule="exact" w:wrap="none" w:vAnchor="page" w:hAnchor="page" w:x="433" w:y="638"/>
        <w:shd w:val="clear" w:color="auto" w:fill="auto"/>
        <w:spacing w:after="360" w:line="293" w:lineRule="auto"/>
        <w:rPr>
          <w:sz w:val="18"/>
          <w:szCs w:val="18"/>
        </w:rPr>
      </w:pPr>
      <w:r>
        <w:rPr>
          <w:sz w:val="18"/>
          <w:szCs w:val="18"/>
        </w:rPr>
        <w:t xml:space="preserve">I </w:t>
      </w:r>
      <w:proofErr w:type="spellStart"/>
      <w:r>
        <w:rPr>
          <w:sz w:val="18"/>
          <w:szCs w:val="18"/>
        </w:rPr>
        <w:t>legemonem</w:t>
      </w:r>
      <w:proofErr w:type="spellEnd"/>
      <w:r>
        <w:rPr>
          <w:sz w:val="18"/>
          <w:szCs w:val="18"/>
        </w:rPr>
        <w:t xml:space="preserve"> na poli čteček a e-knih je jednoznačně Severní Amerika. V roce 2011 připa</w:t>
      </w:r>
      <w:r>
        <w:rPr>
          <w:sz w:val="18"/>
          <w:szCs w:val="18"/>
        </w:rPr>
        <w:softHyphen/>
        <w:t>dalo téměř šedesát procent světové produkce e-knih na USA (z toho 65 procent se pro</w:t>
      </w:r>
      <w:r>
        <w:rPr>
          <w:sz w:val="18"/>
          <w:szCs w:val="18"/>
        </w:rPr>
        <w:softHyphen/>
        <w:t>dalo na Amazon.com), nicméně i zde meziroční nárůsty pomalu ztrácejí na dynamice.</w:t>
      </w:r>
    </w:p>
    <w:p w14:paraId="5B0AF5DA" w14:textId="77777777" w:rsidR="00845B18" w:rsidRDefault="00000000">
      <w:pPr>
        <w:pStyle w:val="Zkladntext70"/>
        <w:framePr w:w="6965" w:h="9456" w:hRule="exact" w:wrap="none" w:vAnchor="page" w:hAnchor="page" w:x="433" w:y="638"/>
        <w:shd w:val="clear" w:color="auto" w:fill="auto"/>
        <w:spacing w:after="180"/>
        <w:ind w:left="0"/>
        <w:jc w:val="center"/>
        <w:rPr>
          <w:sz w:val="13"/>
          <w:szCs w:val="13"/>
        </w:rPr>
      </w:pPr>
      <w:r>
        <w:rPr>
          <w:b w:val="0"/>
          <w:bCs w:val="0"/>
          <w:sz w:val="13"/>
          <w:szCs w:val="13"/>
        </w:rPr>
        <w:t>EVROPA, EVROPSKÁ UNIE</w:t>
      </w:r>
    </w:p>
    <w:p w14:paraId="4E869073" w14:textId="77777777" w:rsidR="00845B18" w:rsidRDefault="00000000">
      <w:pPr>
        <w:pStyle w:val="Zkladntext20"/>
        <w:framePr w:w="6965" w:h="9456" w:hRule="exact" w:wrap="none" w:vAnchor="page" w:hAnchor="page" w:x="433" w:y="638"/>
        <w:shd w:val="clear" w:color="auto" w:fill="auto"/>
        <w:spacing w:after="0" w:line="290" w:lineRule="auto"/>
        <w:rPr>
          <w:sz w:val="18"/>
          <w:szCs w:val="18"/>
        </w:rPr>
      </w:pPr>
      <w:r>
        <w:rPr>
          <w:sz w:val="18"/>
          <w:szCs w:val="18"/>
        </w:rPr>
        <w:t>V Evropě se vydává zhruba polovina všech titulů na světě,</w:t>
      </w:r>
      <w:r>
        <w:rPr>
          <w:sz w:val="18"/>
          <w:szCs w:val="18"/>
          <w:vertAlign w:val="superscript"/>
        </w:rPr>
        <w:t>5</w:t>
      </w:r>
      <w:r>
        <w:rPr>
          <w:sz w:val="18"/>
          <w:szCs w:val="18"/>
        </w:rPr>
        <w:t>) přičemž téměř třicet procent z tohoto počtu produkuje Velká Británie. Co se týče obratu, podílí se Evropa na celosvě</w:t>
      </w:r>
      <w:r>
        <w:rPr>
          <w:sz w:val="18"/>
          <w:szCs w:val="18"/>
        </w:rPr>
        <w:softHyphen/>
        <w:t>tových číslech asi jednou čtvrtinou. Z jiné strany: velikost evropského obratu představuje zhruba tři čtvrtiny obratu v USA. Čtyři pětiny knih se prodají na místních trzích, zbylá pětina jde na export. Výraznými exportéry jsou Velká Británie a Španělsko. Stejné čtyři pě</w:t>
      </w:r>
      <w:r>
        <w:rPr>
          <w:sz w:val="18"/>
          <w:szCs w:val="18"/>
        </w:rPr>
        <w:softHyphen/>
        <w:t>tiny projdou trhem, třináct procent představuje přímý prodej od nakladatele k odběrateli a asi šest procent se prodá prostřednictvím knižních klubů. Co do skladby zaznamenáváme</w:t>
      </w:r>
    </w:p>
    <w:p w14:paraId="1B6066F8" w14:textId="77777777" w:rsidR="00845B18" w:rsidRDefault="00000000">
      <w:pPr>
        <w:pStyle w:val="Poznmkapodarou0"/>
        <w:framePr w:w="6965" w:h="154" w:hRule="exact" w:wrap="none" w:vAnchor="page" w:hAnchor="page" w:x="433" w:y="10411"/>
        <w:shd w:val="clear" w:color="auto" w:fill="auto"/>
        <w:tabs>
          <w:tab w:val="left" w:pos="211"/>
        </w:tabs>
        <w:ind w:left="0" w:firstLine="0"/>
      </w:pPr>
      <w:r>
        <w:t>3)</w:t>
      </w:r>
      <w:r>
        <w:tab/>
      </w:r>
      <w:proofErr w:type="spellStart"/>
      <w:r>
        <w:rPr>
          <w:smallCaps/>
          <w:lang w:val="fr-FR" w:eastAsia="fr-FR" w:bidi="fr-FR"/>
        </w:rPr>
        <w:t>Venuti</w:t>
      </w:r>
      <w:proofErr w:type="spellEnd"/>
      <w:r>
        <w:rPr>
          <w:smallCaps/>
          <w:lang w:val="fr-FR" w:eastAsia="fr-FR" w:bidi="fr-FR"/>
        </w:rPr>
        <w:t>,</w:t>
      </w:r>
      <w:r>
        <w:rPr>
          <w:lang w:val="fr-FR" w:eastAsia="fr-FR" w:bidi="fr-FR"/>
        </w:rPr>
        <w:t xml:space="preserve"> Lawrence. </w:t>
      </w:r>
      <w:proofErr w:type="spellStart"/>
      <w:r>
        <w:rPr>
          <w:i/>
          <w:iCs/>
        </w:rPr>
        <w:t>The</w:t>
      </w:r>
      <w:proofErr w:type="spellEnd"/>
      <w:r>
        <w:rPr>
          <w:i/>
          <w:iCs/>
        </w:rPr>
        <w:t xml:space="preserve"> </w:t>
      </w:r>
      <w:proofErr w:type="spellStart"/>
      <w:r>
        <w:rPr>
          <w:i/>
          <w:iCs/>
        </w:rPr>
        <w:t>Translators</w:t>
      </w:r>
      <w:proofErr w:type="spellEnd"/>
      <w:r>
        <w:rPr>
          <w:i/>
          <w:iCs/>
        </w:rPr>
        <w:t xml:space="preserve"> </w:t>
      </w:r>
      <w:proofErr w:type="spellStart"/>
      <w:r>
        <w:rPr>
          <w:i/>
          <w:iCs/>
        </w:rPr>
        <w:t>Invisibility</w:t>
      </w:r>
      <w:proofErr w:type="spellEnd"/>
      <w:r>
        <w:rPr>
          <w:i/>
          <w:iCs/>
        </w:rPr>
        <w:t>,</w:t>
      </w:r>
      <w:r>
        <w:t xml:space="preserve"> London: </w:t>
      </w:r>
      <w:r>
        <w:rPr>
          <w:lang w:val="fr-FR" w:eastAsia="fr-FR" w:bidi="fr-FR"/>
        </w:rPr>
        <w:t xml:space="preserve">Routledge, </w:t>
      </w:r>
      <w:r>
        <w:t>1995, s. 17.</w:t>
      </w:r>
    </w:p>
    <w:p w14:paraId="5C5AEDBE" w14:textId="77777777" w:rsidR="00845B18" w:rsidRDefault="00000000">
      <w:pPr>
        <w:pStyle w:val="Poznmkapodarou0"/>
        <w:framePr w:w="6965" w:h="317" w:hRule="exact" w:wrap="none" w:vAnchor="page" w:hAnchor="page" w:x="433" w:y="10598"/>
        <w:shd w:val="clear" w:color="auto" w:fill="auto"/>
        <w:tabs>
          <w:tab w:val="left" w:pos="216"/>
        </w:tabs>
        <w:spacing w:line="276" w:lineRule="auto"/>
        <w:jc w:val="left"/>
      </w:pPr>
      <w:r>
        <w:rPr>
          <w:sz w:val="14"/>
          <w:szCs w:val="14"/>
        </w:rPr>
        <w:t>4)</w:t>
      </w:r>
      <w:r>
        <w:rPr>
          <w:sz w:val="14"/>
          <w:szCs w:val="14"/>
        </w:rPr>
        <w:tab/>
      </w:r>
      <w:r>
        <w:t xml:space="preserve">Viz </w:t>
      </w:r>
      <w:r>
        <w:rPr>
          <w:smallCaps/>
          <w:lang w:val="es-ES" w:eastAsia="es-ES" w:bidi="es-ES"/>
        </w:rPr>
        <w:t>Moráis,</w:t>
      </w:r>
      <w:r>
        <w:rPr>
          <w:lang w:val="es-ES" w:eastAsia="es-ES" w:bidi="es-ES"/>
        </w:rPr>
        <w:t xml:space="preserve"> Fernando. </w:t>
      </w:r>
      <w:r>
        <w:rPr>
          <w:i/>
          <w:iCs/>
        </w:rPr>
        <w:t>Mág,</w:t>
      </w:r>
      <w:r>
        <w:t xml:space="preserve"> přel. Jaroslava Jindrová a Anton </w:t>
      </w:r>
      <w:proofErr w:type="spellStart"/>
      <w:r>
        <w:t>Pasienka</w:t>
      </w:r>
      <w:proofErr w:type="spellEnd"/>
      <w:r>
        <w:t>, Praha: Argo, 2009 [2008], s. 457-459.</w:t>
      </w:r>
    </w:p>
    <w:p w14:paraId="275F6DF6" w14:textId="77777777" w:rsidR="00845B18" w:rsidRDefault="00000000">
      <w:pPr>
        <w:pStyle w:val="Poznmkapodarou0"/>
        <w:framePr w:w="6965" w:h="576" w:hRule="exact" w:wrap="none" w:vAnchor="page" w:hAnchor="page" w:x="433" w:y="10987"/>
        <w:shd w:val="clear" w:color="auto" w:fill="auto"/>
        <w:tabs>
          <w:tab w:val="left" w:pos="221"/>
        </w:tabs>
      </w:pPr>
      <w:r>
        <w:t>5)</w:t>
      </w:r>
      <w:r>
        <w:tab/>
        <w:t xml:space="preserve">V části o evropském knižním trhu čerpáme ze zdrojů z pozn. 1 a nadto ještě z těchto: </w:t>
      </w:r>
      <w:r>
        <w:rPr>
          <w:smallCaps/>
        </w:rPr>
        <w:t>Císař,</w:t>
      </w:r>
      <w:r>
        <w:t xml:space="preserve"> Jaroslav. „Knižní produkce zemí EU“, </w:t>
      </w:r>
      <w:proofErr w:type="spellStart"/>
      <w:r>
        <w:rPr>
          <w:i/>
          <w:iCs/>
        </w:rPr>
        <w:t>Biblio</w:t>
      </w:r>
      <w:proofErr w:type="spellEnd"/>
      <w:r>
        <w:rPr>
          <w:i/>
          <w:iCs/>
        </w:rPr>
        <w:t>,</w:t>
      </w:r>
      <w:r>
        <w:t xml:space="preserve"> příloha </w:t>
      </w:r>
      <w:r>
        <w:rPr>
          <w:i/>
          <w:iCs/>
        </w:rPr>
        <w:t>Literárních novin</w:t>
      </w:r>
      <w:r>
        <w:t xml:space="preserve"> 1 (6), 2013,25, s. 8—9; </w:t>
      </w:r>
      <w:r>
        <w:rPr>
          <w:i/>
          <w:iCs/>
          <w:lang w:val="fr-FR" w:eastAsia="fr-FR" w:bidi="fr-FR"/>
        </w:rPr>
        <w:t xml:space="preserve">Europe </w:t>
      </w:r>
      <w:r>
        <w:rPr>
          <w:i/>
          <w:iCs/>
        </w:rPr>
        <w:t xml:space="preserve">and </w:t>
      </w:r>
      <w:proofErr w:type="spellStart"/>
      <w:r>
        <w:rPr>
          <w:i/>
          <w:iCs/>
        </w:rPr>
        <w:t>the</w:t>
      </w:r>
      <w:proofErr w:type="spellEnd"/>
      <w:r>
        <w:rPr>
          <w:i/>
          <w:iCs/>
        </w:rPr>
        <w:t xml:space="preserve"> </w:t>
      </w:r>
      <w:proofErr w:type="spellStart"/>
      <w:r>
        <w:rPr>
          <w:i/>
          <w:iCs/>
        </w:rPr>
        <w:t>Book</w:t>
      </w:r>
      <w:proofErr w:type="spellEnd"/>
      <w:r>
        <w:rPr>
          <w:i/>
          <w:iCs/>
        </w:rPr>
        <w:t xml:space="preserve">, </w:t>
      </w:r>
      <w:r>
        <w:t xml:space="preserve">on line: </w:t>
      </w:r>
      <w:proofErr w:type="spellStart"/>
      <w:r>
        <w:t>hllp</w:t>
      </w:r>
      <w:proofErr w:type="spellEnd"/>
      <w:r>
        <w:t>://www.fepTec.cu/IMC/</w:t>
      </w:r>
      <w:proofErr w:type="spellStart"/>
      <w:r>
        <w:t>pdf</w:t>
      </w:r>
      <w:proofErr w:type="spellEnd"/>
      <w:r>
        <w:t>/</w:t>
      </w:r>
      <w:proofErr w:type="spellStart"/>
      <w:r>
        <w:t>l</w:t>
      </w:r>
      <w:r>
        <w:rPr>
          <w:vertAlign w:val="superscript"/>
        </w:rPr>
        <w:t>;</w:t>
      </w:r>
      <w:r>
        <w:t>EI</w:t>
      </w:r>
      <w:proofErr w:type="spellEnd"/>
      <w:r>
        <w:t xml:space="preserve">’ </w:t>
      </w:r>
      <w:proofErr w:type="spellStart"/>
      <w:r>
        <w:t>F.PIi</w:t>
      </w:r>
      <w:proofErr w:type="spellEnd"/>
      <w:r>
        <w:t xml:space="preserve"> DRAFT </w:t>
      </w:r>
      <w:proofErr w:type="gramStart"/>
      <w:r>
        <w:t>VF.R</w:t>
      </w:r>
      <w:proofErr w:type="gramEnd"/>
      <w:r>
        <w:t xml:space="preserve">2909 F,N </w:t>
      </w:r>
      <w:r>
        <w:rPr>
          <w:lang w:val="en-US" w:eastAsia="en-US" w:bidi="en-US"/>
        </w:rPr>
        <w:t>002.pdf</w:t>
      </w:r>
      <w:r>
        <w:t>[přístup 2013-12-06].</w:t>
      </w:r>
    </w:p>
    <w:p w14:paraId="130A4B57" w14:textId="77777777" w:rsidR="00845B18" w:rsidRDefault="00845B18">
      <w:pPr>
        <w:spacing w:line="14" w:lineRule="exact"/>
        <w:sectPr w:rsidR="00845B18">
          <w:pgSz w:w="8400" w:h="11900"/>
          <w:pgMar w:top="360" w:right="360" w:bottom="360" w:left="360" w:header="0" w:footer="3" w:gutter="0"/>
          <w:cols w:space="720"/>
          <w:noEndnote/>
          <w:docGrid w:linePitch="360"/>
        </w:sectPr>
      </w:pPr>
    </w:p>
    <w:p w14:paraId="0CF8FB56" w14:textId="77777777" w:rsidR="00845B18" w:rsidRDefault="00845B18">
      <w:pPr>
        <w:spacing w:line="14" w:lineRule="exact"/>
      </w:pPr>
    </w:p>
    <w:p w14:paraId="46CEC498" w14:textId="77777777" w:rsidR="00845B18" w:rsidRDefault="00000000">
      <w:pPr>
        <w:pStyle w:val="Zkladntext20"/>
        <w:framePr w:w="6960" w:h="10277" w:hRule="exact" w:wrap="none" w:vAnchor="page" w:hAnchor="page" w:x="1007" w:y="629"/>
        <w:shd w:val="clear" w:color="auto" w:fill="auto"/>
        <w:spacing w:after="120" w:line="290" w:lineRule="auto"/>
        <w:rPr>
          <w:sz w:val="18"/>
          <w:szCs w:val="18"/>
        </w:rPr>
      </w:pPr>
      <w:r>
        <w:rPr>
          <w:sz w:val="18"/>
          <w:szCs w:val="18"/>
        </w:rPr>
        <w:t>v poslední době mírný nárůst knih pro děti, pokles odborně literatury a víceméně stabilní prodej beletrie. Odhaduje se, že knižní trh v Evropě zaměstnává 130 000 lidí na plný úvazek.</w:t>
      </w:r>
    </w:p>
    <w:p w14:paraId="0558D776" w14:textId="77777777" w:rsidR="00845B18" w:rsidRDefault="00000000">
      <w:pPr>
        <w:pStyle w:val="Zkladntext20"/>
        <w:framePr w:w="6960" w:h="10277" w:hRule="exact" w:wrap="none" w:vAnchor="page" w:hAnchor="page" w:x="1007" w:y="629"/>
        <w:shd w:val="clear" w:color="auto" w:fill="auto"/>
        <w:spacing w:after="120" w:line="290" w:lineRule="auto"/>
        <w:rPr>
          <w:sz w:val="18"/>
          <w:szCs w:val="18"/>
        </w:rPr>
      </w:pPr>
      <w:r>
        <w:rPr>
          <w:sz w:val="18"/>
          <w:szCs w:val="18"/>
        </w:rPr>
        <w:t xml:space="preserve">Evropa vykazuje strukturu </w:t>
      </w:r>
      <w:proofErr w:type="gramStart"/>
      <w:r>
        <w:rPr>
          <w:sz w:val="18"/>
          <w:szCs w:val="18"/>
        </w:rPr>
        <w:t>„ 1</w:t>
      </w:r>
      <w:proofErr w:type="gramEnd"/>
      <w:r>
        <w:rPr>
          <w:sz w:val="18"/>
          <w:szCs w:val="18"/>
        </w:rPr>
        <w:t xml:space="preserve"> —4—zbytek“, čili jeden jasně dominantní trh (Německo), čtyři výrazně silné trhy (Francie, Velká Británie, Itálie, Španělsko) a zbylé země. Z nich bychom ještě mohli vytvořit skupinu silnějších (Rusko, Nizozemsko, Polsko, Belgie, Nor</w:t>
      </w:r>
      <w:r>
        <w:rPr>
          <w:sz w:val="18"/>
          <w:szCs w:val="18"/>
        </w:rPr>
        <w:softHyphen/>
        <w:t>sko a Švýcarsko) a těch ostatních.</w:t>
      </w:r>
    </w:p>
    <w:p w14:paraId="3C4E6DFC" w14:textId="77777777" w:rsidR="00845B18" w:rsidRDefault="00000000">
      <w:pPr>
        <w:pStyle w:val="Zkladntext20"/>
        <w:framePr w:w="6960" w:h="10277" w:hRule="exact" w:wrap="none" w:vAnchor="page" w:hAnchor="page" w:x="1007" w:y="629"/>
        <w:shd w:val="clear" w:color="auto" w:fill="auto"/>
        <w:spacing w:after="120" w:line="290" w:lineRule="auto"/>
        <w:rPr>
          <w:sz w:val="18"/>
          <w:szCs w:val="18"/>
        </w:rPr>
      </w:pPr>
      <w:r>
        <w:rPr>
          <w:sz w:val="18"/>
          <w:szCs w:val="18"/>
        </w:rPr>
        <w:t>Pokud jde o země Evropské unie (27 v roce 2013), neliší se jejich problémy od problémů světových, snad jen s tím rozdílem, že zde tak úplně neplatí angloamerická dominance, jakkoli je vzestup angličtiny v jednotlivých zemích — a tím i překladů z tohoto jazyka — neustále patrný. Panuje větší rozrůzněnost (vlastnická i nabídková) a také míra postu</w:t>
      </w:r>
      <w:r>
        <w:rPr>
          <w:sz w:val="18"/>
          <w:szCs w:val="18"/>
        </w:rPr>
        <w:softHyphen/>
        <w:t>pu e-knih je značně pomalejší než v USA. Evropská nakladatelství vydávají v průměru dvacet až čtyřicet titulů ročně. Pokud jde o prodej knih, nejvíce na hlavu se jich prodává ve Finsku, Dánsku a Velké Británii. V půjčování z veřejných knihoven dominují skandi</w:t>
      </w:r>
      <w:r>
        <w:rPr>
          <w:sz w:val="18"/>
          <w:szCs w:val="18"/>
        </w:rPr>
        <w:softHyphen/>
        <w:t xml:space="preserve">návské státy (s Finskem v čele), následované státy pobaltskými. Pro skandinávské státy, které představují v rámci Evropy velmi svébytný knižní subkontinent, platí daleko silnější </w:t>
      </w:r>
      <w:r>
        <w:rPr>
          <w:sz w:val="18"/>
          <w:szCs w:val="18"/>
          <w:lang w:val="fr-FR" w:eastAsia="fr-FR" w:bidi="fr-FR"/>
        </w:rPr>
        <w:t xml:space="preserve">ingérence </w:t>
      </w:r>
      <w:r>
        <w:rPr>
          <w:sz w:val="18"/>
          <w:szCs w:val="18"/>
        </w:rPr>
        <w:t>státu (dotace, regulace, určování pravidel). Ten se snaží liberální živelnost trhu výrazně usměrňovat. Například v Norsku panuje dohoda mezi nakladateli a knihkupci, že tituly musí být drženy na skladě nejméně dva roky. Ve stejné zemi stát vykupuje od na</w:t>
      </w:r>
      <w:r>
        <w:rPr>
          <w:sz w:val="18"/>
          <w:szCs w:val="18"/>
        </w:rPr>
        <w:softHyphen/>
        <w:t>kladatelů tisíc výtisků každého titulu vydaného v norštině a dává je k dispozici veřejným knihovnám.</w:t>
      </w:r>
      <w:r>
        <w:rPr>
          <w:sz w:val="18"/>
          <w:szCs w:val="18"/>
          <w:vertAlign w:val="superscript"/>
        </w:rPr>
        <w:t>6</w:t>
      </w:r>
      <w:r>
        <w:rPr>
          <w:sz w:val="18"/>
          <w:szCs w:val="18"/>
        </w:rPr>
        <w:t>) Dánsko má sice velmi vysokou DPH na knihy, nejvyšší v Evropě (25 pro</w:t>
      </w:r>
      <w:r>
        <w:rPr>
          <w:sz w:val="18"/>
          <w:szCs w:val="18"/>
        </w:rPr>
        <w:softHyphen/>
        <w:t xml:space="preserve">cent; viz příloha 7), ale současně má velmi propracovaný program podpor a grantů — spisovatelům, nakladatelům i knihovnám. To, co </w:t>
      </w:r>
      <w:r>
        <w:rPr>
          <w:sz w:val="18"/>
          <w:szCs w:val="18"/>
          <w:lang w:val="fr-FR" w:eastAsia="fr-FR" w:bidi="fr-FR"/>
        </w:rPr>
        <w:t xml:space="preserve">si </w:t>
      </w:r>
      <w:r>
        <w:rPr>
          <w:sz w:val="18"/>
          <w:szCs w:val="18"/>
        </w:rPr>
        <w:t>stát vezme z prodeje každé knihy, je přerozděleno a štědře investováno do podpory literatury a čtení.</w:t>
      </w:r>
    </w:p>
    <w:p w14:paraId="27DE2527" w14:textId="77777777" w:rsidR="00845B18" w:rsidRDefault="00000000">
      <w:pPr>
        <w:pStyle w:val="Zkladntext20"/>
        <w:framePr w:w="6960" w:h="10277" w:hRule="exact" w:wrap="none" w:vAnchor="page" w:hAnchor="page" w:x="1007" w:y="629"/>
        <w:shd w:val="clear" w:color="auto" w:fill="auto"/>
        <w:spacing w:after="120" w:line="293" w:lineRule="auto"/>
        <w:rPr>
          <w:sz w:val="18"/>
          <w:szCs w:val="18"/>
        </w:rPr>
      </w:pPr>
      <w:r>
        <w:rPr>
          <w:sz w:val="18"/>
          <w:szCs w:val="18"/>
        </w:rPr>
        <w:t>Knižní trh starého kontinentu je ve svém úhrnu charakterizován velkým množstvím fi</w:t>
      </w:r>
      <w:r>
        <w:rPr>
          <w:sz w:val="18"/>
          <w:szCs w:val="18"/>
        </w:rPr>
        <w:softHyphen/>
        <w:t xml:space="preserve">rem s malým počtem zaměstnanců: evropské firmy jich mají v průměru sedm, v USA to je sto. Velká diverzifikace a </w:t>
      </w:r>
      <w:proofErr w:type="spellStart"/>
      <w:r>
        <w:rPr>
          <w:sz w:val="18"/>
          <w:szCs w:val="18"/>
        </w:rPr>
        <w:t>fragmentarizace</w:t>
      </w:r>
      <w:proofErr w:type="spellEnd"/>
      <w:r>
        <w:rPr>
          <w:sz w:val="18"/>
          <w:szCs w:val="18"/>
        </w:rPr>
        <w:t xml:space="preserve"> panuje i na trhu s e-knihami.</w:t>
      </w:r>
    </w:p>
    <w:p w14:paraId="10442363" w14:textId="77777777" w:rsidR="00845B18" w:rsidRDefault="00000000">
      <w:pPr>
        <w:pStyle w:val="Zkladntext20"/>
        <w:framePr w:w="6960" w:h="10277" w:hRule="exact" w:wrap="none" w:vAnchor="page" w:hAnchor="page" w:x="1007" w:y="629"/>
        <w:shd w:val="clear" w:color="auto" w:fill="auto"/>
        <w:spacing w:after="120" w:line="290" w:lineRule="auto"/>
        <w:rPr>
          <w:sz w:val="18"/>
          <w:szCs w:val="18"/>
        </w:rPr>
      </w:pPr>
      <w:r>
        <w:rPr>
          <w:sz w:val="18"/>
          <w:szCs w:val="18"/>
        </w:rPr>
        <w:t>Graf 1.2 (s. 19) ukazuje poměr tištěných a elektronických knih (včetně prognózy) na pěti nejsilnějších trzích.</w:t>
      </w:r>
    </w:p>
    <w:p w14:paraId="210E34C1" w14:textId="77777777" w:rsidR="00845B18" w:rsidRDefault="00000000">
      <w:pPr>
        <w:pStyle w:val="Zkladntext20"/>
        <w:framePr w:w="6960" w:h="10277" w:hRule="exact" w:wrap="none" w:vAnchor="page" w:hAnchor="page" w:x="1007" w:y="629"/>
        <w:shd w:val="clear" w:color="auto" w:fill="auto"/>
        <w:spacing w:after="120" w:line="290" w:lineRule="auto"/>
        <w:rPr>
          <w:sz w:val="18"/>
          <w:szCs w:val="18"/>
        </w:rPr>
      </w:pPr>
      <w:r>
        <w:rPr>
          <w:sz w:val="18"/>
          <w:szCs w:val="18"/>
        </w:rPr>
        <w:t>Vidíme, že objem zůstává víceméně zachován; finanční úbytky na straně knih tištěných jsou kompenzovány příjmy na straně knih elektronických. Pokud jde o strukturu, na evropských trzích v poslední době mírně posílil segment beletrie a knih pro děti, naopak oslabil segment odborných knih.</w:t>
      </w:r>
    </w:p>
    <w:p w14:paraId="390A94E6" w14:textId="77777777" w:rsidR="00845B18" w:rsidRDefault="00000000">
      <w:pPr>
        <w:pStyle w:val="Zkladntext20"/>
        <w:framePr w:w="6960" w:h="10277" w:hRule="exact" w:wrap="none" w:vAnchor="page" w:hAnchor="page" w:x="1007" w:y="629"/>
        <w:shd w:val="clear" w:color="auto" w:fill="auto"/>
        <w:spacing w:after="0" w:line="290" w:lineRule="auto"/>
        <w:rPr>
          <w:sz w:val="18"/>
          <w:szCs w:val="18"/>
        </w:rPr>
      </w:pPr>
      <w:r>
        <w:rPr>
          <w:sz w:val="18"/>
          <w:szCs w:val="18"/>
        </w:rPr>
        <w:t>K leitmotivům poslední doby, které se objevují v rámci agendy Evropské unie, patří de</w:t>
      </w:r>
      <w:r>
        <w:rPr>
          <w:sz w:val="18"/>
          <w:szCs w:val="18"/>
        </w:rPr>
        <w:softHyphen/>
        <w:t>baty o pevných cenách, přičemž tendencí je od systému pevných cen postupně ustupo</w:t>
      </w:r>
      <w:r>
        <w:rPr>
          <w:sz w:val="18"/>
          <w:szCs w:val="18"/>
        </w:rPr>
        <w:softHyphen/>
        <w:t xml:space="preserve">vat. Je potvrzeno, že systém pevných cen je na jedné straně schopen více ochránit malé nakladatele (i prodejce), ale na druhé straně snižuje volnou soutěž na knižním trhu a dusí jeho růst. Často tato strategie vede k všelikých úskokům a chytristikám. Tak byl například v Německu vydán pátý díl </w:t>
      </w:r>
      <w:r>
        <w:rPr>
          <w:i/>
          <w:iCs/>
          <w:sz w:val="18"/>
          <w:szCs w:val="18"/>
        </w:rPr>
        <w:t>Harryho Pottera</w:t>
      </w:r>
      <w:r>
        <w:rPr>
          <w:sz w:val="18"/>
          <w:szCs w:val="18"/>
        </w:rPr>
        <w:t xml:space="preserve"> s fixní cenou, přičemž již o několik</w:t>
      </w:r>
    </w:p>
    <w:p w14:paraId="65FF0BA7" w14:textId="77777777" w:rsidR="00845B18" w:rsidRDefault="00000000">
      <w:pPr>
        <w:pStyle w:val="Poznmkapodarou0"/>
        <w:framePr w:w="6912" w:h="422" w:hRule="exact" w:wrap="none" w:vAnchor="page" w:hAnchor="page" w:x="1055" w:y="11261"/>
        <w:shd w:val="clear" w:color="auto" w:fill="auto"/>
        <w:tabs>
          <w:tab w:val="left" w:pos="221"/>
        </w:tabs>
        <w:spacing w:line="266" w:lineRule="auto"/>
        <w:ind w:left="280" w:hanging="280"/>
        <w:jc w:val="left"/>
      </w:pPr>
      <w:r>
        <w:t>6)</w:t>
      </w:r>
      <w:r>
        <w:tab/>
        <w:t xml:space="preserve">Viz, </w:t>
      </w:r>
      <w:proofErr w:type="spellStart"/>
      <w:r>
        <w:rPr>
          <w:smallCaps/>
        </w:rPr>
        <w:t>Griswold</w:t>
      </w:r>
      <w:proofErr w:type="spellEnd"/>
      <w:r>
        <w:rPr>
          <w:smallCaps/>
        </w:rPr>
        <w:t>,</w:t>
      </w:r>
      <w:r>
        <w:t xml:space="preserve"> Wendy. </w:t>
      </w:r>
      <w:proofErr w:type="spellStart"/>
      <w:r>
        <w:rPr>
          <w:i/>
          <w:iCs/>
        </w:rPr>
        <w:t>Regionalism</w:t>
      </w:r>
      <w:proofErr w:type="spellEnd"/>
      <w:r>
        <w:rPr>
          <w:i/>
          <w:iCs/>
        </w:rPr>
        <w:t xml:space="preserve"> and </w:t>
      </w:r>
      <w:proofErr w:type="spellStart"/>
      <w:r>
        <w:rPr>
          <w:i/>
          <w:iCs/>
        </w:rPr>
        <w:t>the</w:t>
      </w:r>
      <w:proofErr w:type="spellEnd"/>
      <w:r>
        <w:rPr>
          <w:i/>
          <w:iCs/>
        </w:rPr>
        <w:t xml:space="preserve"> </w:t>
      </w:r>
      <w:proofErr w:type="spellStart"/>
      <w:r>
        <w:rPr>
          <w:i/>
          <w:iCs/>
        </w:rPr>
        <w:t>Reading</w:t>
      </w:r>
      <w:proofErr w:type="spellEnd"/>
      <w:r>
        <w:rPr>
          <w:i/>
          <w:iCs/>
        </w:rPr>
        <w:t xml:space="preserve"> </w:t>
      </w:r>
      <w:proofErr w:type="spellStart"/>
      <w:r>
        <w:rPr>
          <w:i/>
          <w:iCs/>
        </w:rPr>
        <w:t>Class</w:t>
      </w:r>
      <w:proofErr w:type="spellEnd"/>
      <w:r>
        <w:rPr>
          <w:i/>
          <w:iCs/>
        </w:rPr>
        <w:t>,</w:t>
      </w:r>
      <w:r>
        <w:t xml:space="preserve"> Chicago — London: </w:t>
      </w:r>
      <w:proofErr w:type="spellStart"/>
      <w:r>
        <w:t>The</w:t>
      </w:r>
      <w:proofErr w:type="spellEnd"/>
      <w:r>
        <w:t xml:space="preserve"> University </w:t>
      </w:r>
      <w:proofErr w:type="spellStart"/>
      <w:r>
        <w:t>of</w:t>
      </w:r>
      <w:proofErr w:type="spellEnd"/>
      <w:r>
        <w:t xml:space="preserve"> Chicago </w:t>
      </w:r>
      <w:proofErr w:type="spellStart"/>
      <w:r>
        <w:t>Press</w:t>
      </w:r>
      <w:proofErr w:type="spellEnd"/>
      <w:r>
        <w:t>, 2008, s. 128-159.</w:t>
      </w:r>
    </w:p>
    <w:p w14:paraId="046EE62E" w14:textId="77777777" w:rsidR="00845B18" w:rsidRDefault="00845B18">
      <w:pPr>
        <w:spacing w:line="14" w:lineRule="exact"/>
        <w:sectPr w:rsidR="00845B18">
          <w:pgSz w:w="8400" w:h="11900"/>
          <w:pgMar w:top="360" w:right="360" w:bottom="360" w:left="360" w:header="0" w:footer="3" w:gutter="0"/>
          <w:cols w:space="720"/>
          <w:noEndnote/>
          <w:docGrid w:linePitch="360"/>
        </w:sectPr>
      </w:pPr>
    </w:p>
    <w:p w14:paraId="2D812464" w14:textId="77777777" w:rsidR="00845B18" w:rsidRDefault="00845B18">
      <w:pPr>
        <w:spacing w:line="14" w:lineRule="exact"/>
      </w:pPr>
    </w:p>
    <w:p w14:paraId="4E5DD436" w14:textId="77777777" w:rsidR="00845B18" w:rsidRDefault="00000000">
      <w:pPr>
        <w:pStyle w:val="Zhlavnebozpat0"/>
        <w:framePr w:wrap="none" w:vAnchor="page" w:hAnchor="page" w:x="3740" w:y="264"/>
        <w:shd w:val="clear" w:color="auto" w:fill="auto"/>
        <w:rPr>
          <w:sz w:val="8"/>
          <w:szCs w:val="8"/>
        </w:rPr>
      </w:pPr>
      <w:r>
        <w:rPr>
          <w:sz w:val="18"/>
          <w:szCs w:val="18"/>
        </w:rPr>
        <w:t xml:space="preserve">I </w:t>
      </w:r>
      <w:r>
        <w:rPr>
          <w:i/>
          <w:iCs/>
          <w:sz w:val="8"/>
          <w:szCs w:val="8"/>
        </w:rPr>
        <w:t>■ ~f</w:t>
      </w:r>
    </w:p>
    <w:p w14:paraId="00A30B31" w14:textId="77777777" w:rsidR="00845B18" w:rsidRDefault="00000000">
      <w:pPr>
        <w:pStyle w:val="Titulekobrzku0"/>
        <w:framePr w:w="5842" w:h="562" w:hRule="exact" w:wrap="none" w:vAnchor="page" w:hAnchor="page" w:x="1047" w:y="643"/>
        <w:shd w:val="clear" w:color="auto" w:fill="auto"/>
        <w:spacing w:line="377" w:lineRule="auto"/>
        <w:ind w:left="4400" w:hanging="4400"/>
        <w:rPr>
          <w:sz w:val="12"/>
          <w:szCs w:val="12"/>
        </w:rPr>
      </w:pPr>
      <w:r>
        <w:rPr>
          <w:rFonts w:ascii="Calibri" w:eastAsia="Calibri" w:hAnsi="Calibri" w:cs="Calibri"/>
          <w:b w:val="0"/>
          <w:bCs w:val="0"/>
          <w:sz w:val="16"/>
          <w:szCs w:val="16"/>
        </w:rPr>
        <w:t xml:space="preserve">Graf 1.2 Pět největších knižních trhu EU — tištěné vs. elektronické knihy (mld. eur) </w:t>
      </w:r>
      <w:r>
        <w:rPr>
          <w:sz w:val="12"/>
          <w:szCs w:val="12"/>
        </w:rPr>
        <w:t>tištěné knihy ■ e-knihy</w:t>
      </w:r>
    </w:p>
    <w:p w14:paraId="09F0F5AD" w14:textId="77777777" w:rsidR="00845B18" w:rsidRDefault="00000000">
      <w:pPr>
        <w:pStyle w:val="Titulekobrzku0"/>
        <w:framePr w:wrap="none" w:vAnchor="page" w:hAnchor="page" w:x="3380" w:y="3518"/>
        <w:shd w:val="clear" w:color="auto" w:fill="auto"/>
        <w:rPr>
          <w:sz w:val="12"/>
          <w:szCs w:val="12"/>
        </w:rPr>
      </w:pPr>
      <w:r>
        <w:rPr>
          <w:b w:val="0"/>
          <w:bCs w:val="0"/>
          <w:sz w:val="12"/>
          <w:szCs w:val="12"/>
        </w:rPr>
        <w:t xml:space="preserve">Zdroj: </w:t>
      </w:r>
      <w:proofErr w:type="spellStart"/>
      <w:r>
        <w:rPr>
          <w:b w:val="0"/>
          <w:bCs w:val="0"/>
          <w:sz w:val="12"/>
          <w:szCs w:val="12"/>
        </w:rPr>
        <w:t>Idate</w:t>
      </w:r>
      <w:proofErr w:type="spellEnd"/>
      <w:r>
        <w:rPr>
          <w:b w:val="0"/>
          <w:bCs w:val="0"/>
          <w:sz w:val="12"/>
          <w:szCs w:val="12"/>
        </w:rPr>
        <w:t xml:space="preserve"> (2011)</w:t>
      </w:r>
    </w:p>
    <w:p w14:paraId="7C0D9B07" w14:textId="77777777" w:rsidR="00845B18" w:rsidRDefault="00000000">
      <w:pPr>
        <w:pStyle w:val="Zkladntext20"/>
        <w:framePr w:w="6965" w:h="6662" w:hRule="exact" w:wrap="none" w:vAnchor="page" w:hAnchor="page" w:x="433" w:y="3998"/>
        <w:shd w:val="clear" w:color="auto" w:fill="auto"/>
        <w:spacing w:after="120" w:line="290" w:lineRule="auto"/>
        <w:rPr>
          <w:sz w:val="18"/>
          <w:szCs w:val="18"/>
        </w:rPr>
      </w:pPr>
      <w:r>
        <w:rPr>
          <w:sz w:val="18"/>
          <w:szCs w:val="18"/>
        </w:rPr>
        <w:t>měsíců později jedno knihkupectví začalo tyto výtisky prodávat jako „poškozené“ za zhruba polovinu původní fixní ceny.</w:t>
      </w:r>
    </w:p>
    <w:p w14:paraId="31015531" w14:textId="77777777" w:rsidR="00845B18" w:rsidRDefault="00000000">
      <w:pPr>
        <w:pStyle w:val="Zkladntext20"/>
        <w:framePr w:w="6965" w:h="6662" w:hRule="exact" w:wrap="none" w:vAnchor="page" w:hAnchor="page" w:x="433" w:y="3998"/>
        <w:shd w:val="clear" w:color="auto" w:fill="auto"/>
        <w:spacing w:after="120" w:line="290" w:lineRule="auto"/>
        <w:rPr>
          <w:sz w:val="18"/>
          <w:szCs w:val="18"/>
        </w:rPr>
      </w:pPr>
      <w:r>
        <w:rPr>
          <w:sz w:val="18"/>
          <w:szCs w:val="18"/>
        </w:rPr>
        <w:t>Vede se debata, zda by se daň z přidané hodnoty (DPH) na e-knihy neměla srovnat s daní za knihy tištěné, která je téměř ve všech případech nižší. Klade se otázka, zda například více nepodporovat překlady z menších jazyků a kultur, a to na úkor stále expanzivněj</w:t>
      </w:r>
      <w:r>
        <w:rPr>
          <w:sz w:val="18"/>
          <w:szCs w:val="18"/>
        </w:rPr>
        <w:softHyphen/>
        <w:t>ší angličtiny. V poslední době se klíčovým bodem agendy stává podpora gramotnos</w:t>
      </w:r>
      <w:r>
        <w:rPr>
          <w:sz w:val="18"/>
          <w:szCs w:val="18"/>
        </w:rPr>
        <w:softHyphen/>
        <w:t xml:space="preserve">ti a vzdělanosti jako hlavních motorů socio-ekonomického růstu: zářným příkladem může být Finsko jako země s velmi vysokým počtem těch, kdo </w:t>
      </w:r>
      <w:r>
        <w:rPr>
          <w:sz w:val="18"/>
          <w:szCs w:val="18"/>
          <w:lang w:val="fr-FR" w:eastAsia="fr-FR" w:bidi="fr-FR"/>
        </w:rPr>
        <w:t xml:space="preserve">si </w:t>
      </w:r>
      <w:r>
        <w:rPr>
          <w:sz w:val="18"/>
          <w:szCs w:val="18"/>
        </w:rPr>
        <w:t>knihy kupují i půjčují, a zároveň země, jež se umisťuje na předních místech ve výzkumech PISA (matematická, přírodovědecká a čtenářská gramotnost). V evropské agendě se dostává i na téma čte</w:t>
      </w:r>
      <w:r>
        <w:rPr>
          <w:sz w:val="18"/>
          <w:szCs w:val="18"/>
        </w:rPr>
        <w:softHyphen/>
        <w:t>nářství a toho, jak je proměňují procesy digitální revoluce.</w:t>
      </w:r>
    </w:p>
    <w:p w14:paraId="1B2DFB6A" w14:textId="77777777" w:rsidR="00845B18" w:rsidRDefault="00000000">
      <w:pPr>
        <w:pStyle w:val="Zkladntext20"/>
        <w:framePr w:w="6965" w:h="6662" w:hRule="exact" w:wrap="none" w:vAnchor="page" w:hAnchor="page" w:x="433" w:y="3998"/>
        <w:shd w:val="clear" w:color="auto" w:fill="auto"/>
        <w:spacing w:after="300" w:line="290" w:lineRule="auto"/>
        <w:rPr>
          <w:sz w:val="18"/>
          <w:szCs w:val="18"/>
        </w:rPr>
      </w:pPr>
      <w:r>
        <w:rPr>
          <w:sz w:val="18"/>
          <w:szCs w:val="18"/>
        </w:rPr>
        <w:t>Za silné stránky evropského knižního trhu se pokládá schopnost angažovat velmi kvalit</w:t>
      </w:r>
      <w:r>
        <w:rPr>
          <w:sz w:val="18"/>
          <w:szCs w:val="18"/>
        </w:rPr>
        <w:softHyphen/>
        <w:t xml:space="preserve">ní pracovníky, a to zejména díky tradici a pozornosti, jež se v Evropě dlouhodobě knize věnuje. Za výhodu se považuje i vzdělané čtenářské publikum. Slabou stránkou je naopak nepříliš velký inovativní potenciál (strategie firem se v okamžicích krize soustřeďují spíše na redukci než na restrukturalizaci a nové nápady). V poslední době začíná být velkým problémem evropského knižního prostoru stále se zvyšující nadprodukce titulů, již lze sice zvládnout výrobně, ale už nikoli prodejně, tedy fakt, že trh je poháněn spíše produkcí </w:t>
      </w:r>
      <w:r>
        <w:rPr>
          <w:i/>
          <w:iCs/>
          <w:sz w:val="18"/>
          <w:szCs w:val="18"/>
        </w:rPr>
        <w:t>(</w:t>
      </w:r>
      <w:proofErr w:type="spellStart"/>
      <w:r>
        <w:rPr>
          <w:i/>
          <w:iCs/>
          <w:sz w:val="18"/>
          <w:szCs w:val="18"/>
        </w:rPr>
        <w:t>supply</w:t>
      </w:r>
      <w:proofErr w:type="spellEnd"/>
      <w:r>
        <w:rPr>
          <w:i/>
          <w:iCs/>
          <w:sz w:val="18"/>
          <w:szCs w:val="18"/>
        </w:rPr>
        <w:t xml:space="preserve"> </w:t>
      </w:r>
      <w:proofErr w:type="spellStart"/>
      <w:r>
        <w:rPr>
          <w:i/>
          <w:iCs/>
          <w:sz w:val="18"/>
          <w:szCs w:val="18"/>
        </w:rPr>
        <w:t>driven</w:t>
      </w:r>
      <w:proofErr w:type="spellEnd"/>
      <w:r>
        <w:rPr>
          <w:i/>
          <w:iCs/>
          <w:sz w:val="18"/>
          <w:szCs w:val="18"/>
        </w:rPr>
        <w:t>)</w:t>
      </w:r>
      <w:r>
        <w:rPr>
          <w:sz w:val="18"/>
          <w:szCs w:val="18"/>
        </w:rPr>
        <w:t xml:space="preserve"> než prodejem </w:t>
      </w:r>
      <w:r>
        <w:rPr>
          <w:i/>
          <w:iCs/>
          <w:sz w:val="18"/>
          <w:szCs w:val="18"/>
          <w:lang w:val="es-ES" w:eastAsia="es-ES" w:bidi="es-ES"/>
        </w:rPr>
        <w:t xml:space="preserve">(sales </w:t>
      </w:r>
      <w:proofErr w:type="spellStart"/>
      <w:r>
        <w:rPr>
          <w:i/>
          <w:iCs/>
          <w:sz w:val="18"/>
          <w:szCs w:val="18"/>
        </w:rPr>
        <w:t>driven</w:t>
      </w:r>
      <w:proofErr w:type="spellEnd"/>
      <w:r>
        <w:rPr>
          <w:i/>
          <w:iCs/>
          <w:sz w:val="18"/>
          <w:szCs w:val="18"/>
        </w:rPr>
        <w:t>).</w:t>
      </w:r>
    </w:p>
    <w:p w14:paraId="4E12D757" w14:textId="77777777" w:rsidR="00845B18" w:rsidRDefault="00000000">
      <w:pPr>
        <w:pStyle w:val="Zkladntext60"/>
        <w:framePr w:w="6965" w:h="6662" w:hRule="exact" w:wrap="none" w:vAnchor="page" w:hAnchor="page" w:x="433" w:y="3998"/>
        <w:shd w:val="clear" w:color="auto" w:fill="auto"/>
        <w:tabs>
          <w:tab w:val="left" w:pos="5931"/>
          <w:tab w:val="left" w:pos="6603"/>
        </w:tabs>
        <w:spacing w:after="120" w:line="307" w:lineRule="auto"/>
        <w:ind w:left="440"/>
        <w:jc w:val="both"/>
        <w:rPr>
          <w:sz w:val="17"/>
          <w:szCs w:val="17"/>
        </w:rPr>
      </w:pPr>
      <w:r>
        <w:rPr>
          <w:sz w:val="17"/>
          <w:szCs w:val="17"/>
        </w:rPr>
        <w:t>■H HHHH SOUSEDÉ HHHHI</w:t>
      </w:r>
      <w:r>
        <w:rPr>
          <w:sz w:val="17"/>
          <w:szCs w:val="17"/>
        </w:rPr>
        <w:tab/>
        <w:t>•</w:t>
      </w:r>
      <w:r>
        <w:rPr>
          <w:sz w:val="17"/>
          <w:szCs w:val="17"/>
        </w:rPr>
        <w:tab/>
        <w:t>Mi</w:t>
      </w:r>
    </w:p>
    <w:p w14:paraId="43DC0989" w14:textId="77777777" w:rsidR="00845B18" w:rsidRDefault="00000000">
      <w:pPr>
        <w:pStyle w:val="Zkladntext20"/>
        <w:framePr w:w="6965" w:h="6662" w:hRule="exact" w:wrap="none" w:vAnchor="page" w:hAnchor="page" w:x="433" w:y="3998"/>
        <w:shd w:val="clear" w:color="auto" w:fill="auto"/>
        <w:spacing w:after="120" w:line="290" w:lineRule="auto"/>
        <w:jc w:val="center"/>
        <w:rPr>
          <w:sz w:val="18"/>
          <w:szCs w:val="18"/>
        </w:rPr>
      </w:pPr>
      <w:r>
        <w:rPr>
          <w:sz w:val="18"/>
          <w:szCs w:val="18"/>
        </w:rPr>
        <w:t>NĚMECKO</w:t>
      </w:r>
    </w:p>
    <w:p w14:paraId="6B6699F1" w14:textId="77777777" w:rsidR="00845B18" w:rsidRDefault="00000000">
      <w:pPr>
        <w:pStyle w:val="Zkladntext20"/>
        <w:framePr w:w="6965" w:h="6662" w:hRule="exact" w:wrap="none" w:vAnchor="page" w:hAnchor="page" w:x="433" w:y="3998"/>
        <w:shd w:val="clear" w:color="auto" w:fill="auto"/>
        <w:spacing w:after="0" w:line="290" w:lineRule="auto"/>
        <w:rPr>
          <w:sz w:val="18"/>
          <w:szCs w:val="18"/>
        </w:rPr>
      </w:pPr>
      <w:r>
        <w:rPr>
          <w:sz w:val="18"/>
          <w:szCs w:val="18"/>
        </w:rPr>
        <w:t>Největší evropský trh a třetí největší trh na světě,</w:t>
      </w:r>
      <w:r>
        <w:rPr>
          <w:sz w:val="18"/>
          <w:szCs w:val="18"/>
          <w:vertAlign w:val="superscript"/>
        </w:rPr>
        <w:t>7</w:t>
      </w:r>
      <w:r>
        <w:rPr>
          <w:sz w:val="18"/>
          <w:szCs w:val="18"/>
        </w:rPr>
        <w:t>) jenž navíc může těžit i z dalších ně</w:t>
      </w:r>
      <w:r>
        <w:rPr>
          <w:sz w:val="18"/>
          <w:szCs w:val="18"/>
        </w:rPr>
        <w:softHyphen/>
        <w:t>mecky mluvících zemí či oblastí (Rakousko, Švýcarsko, Lucembursko). Jde o trh asi</w:t>
      </w:r>
    </w:p>
    <w:p w14:paraId="5A2CB633" w14:textId="77777777" w:rsidR="00845B18" w:rsidRDefault="00000000">
      <w:pPr>
        <w:pStyle w:val="Poznmkapodarou0"/>
        <w:framePr w:w="6965" w:h="763" w:hRule="exact" w:wrap="none" w:vAnchor="page" w:hAnchor="page" w:x="433" w:y="10939"/>
        <w:shd w:val="clear" w:color="auto" w:fill="auto"/>
        <w:tabs>
          <w:tab w:val="left" w:pos="216"/>
        </w:tabs>
        <w:spacing w:line="266" w:lineRule="auto"/>
      </w:pPr>
      <w:r>
        <w:t>7)</w:t>
      </w:r>
      <w:r>
        <w:tab/>
        <w:t xml:space="preserve">V části o knižním trhu našich sousedů čerpáme z těchto zdrojů: </w:t>
      </w:r>
      <w:proofErr w:type="spellStart"/>
      <w:r>
        <w:rPr>
          <w:sz w:val="12"/>
          <w:szCs w:val="12"/>
          <w:lang w:val="fr-FR" w:eastAsia="fr-FR" w:bidi="fr-FR"/>
        </w:rPr>
        <w:t>DOBROtçCKi</w:t>
      </w:r>
      <w:proofErr w:type="spellEnd"/>
      <w:r>
        <w:rPr>
          <w:sz w:val="12"/>
          <w:szCs w:val="12"/>
          <w:lang w:val="fr-FR" w:eastAsia="fr-FR" w:bidi="fr-FR"/>
        </w:rPr>
        <w:t xml:space="preserve">, </w:t>
      </w:r>
      <w:r>
        <w:t xml:space="preserve">Piotr. </w:t>
      </w:r>
      <w:proofErr w:type="spellStart"/>
      <w:r>
        <w:rPr>
          <w:i/>
          <w:iCs/>
        </w:rPr>
        <w:t>Dwudziestolecie</w:t>
      </w:r>
      <w:proofErr w:type="spellEnd"/>
      <w:r>
        <w:rPr>
          <w:i/>
          <w:iCs/>
        </w:rPr>
        <w:t xml:space="preserve"> </w:t>
      </w:r>
      <w:proofErr w:type="spellStart"/>
      <w:r>
        <w:rPr>
          <w:i/>
          <w:iCs/>
        </w:rPr>
        <w:t>wolnego</w:t>
      </w:r>
      <w:proofErr w:type="spellEnd"/>
      <w:r>
        <w:rPr>
          <w:i/>
          <w:iCs/>
        </w:rPr>
        <w:t xml:space="preserve"> rynku </w:t>
      </w:r>
      <w:proofErr w:type="spellStart"/>
      <w:r>
        <w:rPr>
          <w:i/>
          <w:iCs/>
        </w:rPr>
        <w:t>ksiqžki</w:t>
      </w:r>
      <w:proofErr w:type="spellEnd"/>
      <w:r>
        <w:rPr>
          <w:i/>
          <w:iCs/>
        </w:rPr>
        <w:t xml:space="preserve"> w </w:t>
      </w:r>
      <w:proofErr w:type="spellStart"/>
      <w:r>
        <w:rPr>
          <w:i/>
          <w:iCs/>
        </w:rPr>
        <w:t>Polsce</w:t>
      </w:r>
      <w:proofErr w:type="spellEnd"/>
      <w:r>
        <w:rPr>
          <w:i/>
          <w:iCs/>
        </w:rPr>
        <w:t xml:space="preserve"> (1989-2009),</w:t>
      </w:r>
      <w:r>
        <w:t xml:space="preserve"> </w:t>
      </w:r>
      <w:proofErr w:type="spellStart"/>
      <w:r>
        <w:t>Warszawa</w:t>
      </w:r>
      <w:proofErr w:type="spellEnd"/>
      <w:r>
        <w:t xml:space="preserve">: Bibliotéka </w:t>
      </w:r>
      <w:proofErr w:type="spellStart"/>
      <w:r>
        <w:t>Analiz</w:t>
      </w:r>
      <w:proofErr w:type="spellEnd"/>
      <w:r>
        <w:t xml:space="preserve">, 2010; </w:t>
      </w:r>
      <w:proofErr w:type="spellStart"/>
      <w:r>
        <w:rPr>
          <w:smallCaps/>
        </w:rPr>
        <w:t>Fuchshuber</w:t>
      </w:r>
      <w:proofErr w:type="spellEnd"/>
      <w:r>
        <w:rPr>
          <w:smallCaps/>
        </w:rPr>
        <w:t>,</w:t>
      </w:r>
      <w:r>
        <w:t xml:space="preserve"> lna. </w:t>
      </w:r>
      <w:r>
        <w:rPr>
          <w:i/>
          <w:iCs/>
        </w:rPr>
        <w:t xml:space="preserve">Der </w:t>
      </w:r>
      <w:proofErr w:type="spellStart"/>
      <w:r>
        <w:rPr>
          <w:i/>
          <w:iCs/>
        </w:rPr>
        <w:t>Ruchmarkt</w:t>
      </w:r>
      <w:proofErr w:type="spellEnd"/>
      <w:r>
        <w:rPr>
          <w:i/>
          <w:iCs/>
        </w:rPr>
        <w:t xml:space="preserve"> </w:t>
      </w:r>
      <w:r>
        <w:rPr>
          <w:i/>
          <w:iCs/>
          <w:lang w:val="fr-FR" w:eastAsia="fr-FR" w:bidi="fr-FR"/>
        </w:rPr>
        <w:t xml:space="preserve">in </w:t>
      </w:r>
      <w:proofErr w:type="spellStart"/>
      <w:r>
        <w:rPr>
          <w:i/>
          <w:iCs/>
          <w:lang w:val="fr-FR" w:eastAsia="fr-FR" w:bidi="fr-FR"/>
        </w:rPr>
        <w:t>ôsterreich</w:t>
      </w:r>
      <w:proofErr w:type="spellEnd"/>
      <w:r>
        <w:rPr>
          <w:i/>
          <w:iCs/>
          <w:lang w:val="fr-FR" w:eastAsia="fr-FR" w:bidi="fr-FR"/>
        </w:rPr>
        <w:t>,</w:t>
      </w:r>
      <w:r>
        <w:rPr>
          <w:lang w:val="fr-FR" w:eastAsia="fr-FR" w:bidi="fr-FR"/>
        </w:rPr>
        <w:t xml:space="preserve"> </w:t>
      </w:r>
      <w:proofErr w:type="spellStart"/>
      <w:r>
        <w:t>Norderstedt</w:t>
      </w:r>
      <w:proofErr w:type="spellEnd"/>
      <w:r>
        <w:t xml:space="preserve">: GRIN, 2005; </w:t>
      </w:r>
      <w:r>
        <w:rPr>
          <w:smallCaps/>
          <w:lang w:val="fr-FR" w:eastAsia="fr-FR" w:bidi="fr-FR"/>
        </w:rPr>
        <w:t>Kaufman,</w:t>
      </w:r>
      <w:r>
        <w:rPr>
          <w:lang w:val="fr-FR" w:eastAsia="fr-FR" w:bidi="fr-FR"/>
        </w:rPr>
        <w:t xml:space="preserve"> </w:t>
      </w:r>
      <w:r>
        <w:t>Peter B. „</w:t>
      </w:r>
      <w:proofErr w:type="spellStart"/>
      <w:r>
        <w:t>Central</w:t>
      </w:r>
      <w:proofErr w:type="spellEnd"/>
      <w:r>
        <w:t xml:space="preserve"> and </w:t>
      </w:r>
      <w:proofErr w:type="spellStart"/>
      <w:r>
        <w:rPr>
          <w:lang w:val="fr-FR" w:eastAsia="fr-FR" w:bidi="fr-FR"/>
        </w:rPr>
        <w:t>Eastern</w:t>
      </w:r>
      <w:proofErr w:type="spellEnd"/>
      <w:r>
        <w:rPr>
          <w:lang w:val="fr-FR" w:eastAsia="fr-FR" w:bidi="fr-FR"/>
        </w:rPr>
        <w:t xml:space="preserve"> Europe“, in: </w:t>
      </w:r>
      <w:proofErr w:type="spellStart"/>
      <w:r>
        <w:rPr>
          <w:smallCaps/>
          <w:lang w:val="fr-FR" w:eastAsia="fr-FR" w:bidi="fr-FR"/>
        </w:rPr>
        <w:t>Altbach</w:t>
      </w:r>
      <w:proofErr w:type="spellEnd"/>
      <w:r>
        <w:rPr>
          <w:smallCaps/>
          <w:lang w:val="fr-FR" w:eastAsia="fr-FR" w:bidi="fr-FR"/>
        </w:rPr>
        <w:t>,</w:t>
      </w:r>
      <w:r>
        <w:rPr>
          <w:lang w:val="fr-FR" w:eastAsia="fr-FR" w:bidi="fr-FR"/>
        </w:rPr>
        <w:t xml:space="preserve"> </w:t>
      </w:r>
      <w:r>
        <w:t xml:space="preserve">Philip </w:t>
      </w:r>
      <w:r>
        <w:rPr>
          <w:lang w:val="es-ES" w:eastAsia="es-ES" w:bidi="es-ES"/>
        </w:rPr>
        <w:t xml:space="preserve">(i. </w:t>
      </w:r>
      <w:r>
        <w:t xml:space="preserve">I </w:t>
      </w:r>
      <w:proofErr w:type="spellStart"/>
      <w:r>
        <w:rPr>
          <w:smallCaps/>
        </w:rPr>
        <w:t>Iosiiino</w:t>
      </w:r>
      <w:proofErr w:type="spellEnd"/>
      <w:r>
        <w:rPr>
          <w:smallCaps/>
        </w:rPr>
        <w:t>,</w:t>
      </w:r>
      <w:r>
        <w:t xml:space="preserve"> </w:t>
      </w:r>
      <w:r>
        <w:rPr>
          <w:lang w:val="fr-FR" w:eastAsia="fr-FR" w:bidi="fr-FR"/>
        </w:rPr>
        <w:t xml:space="preserve">Edith </w:t>
      </w:r>
      <w:r>
        <w:t>S. (</w:t>
      </w:r>
      <w:proofErr w:type="spellStart"/>
      <w:r>
        <w:t>eds</w:t>
      </w:r>
      <w:proofErr w:type="spellEnd"/>
      <w:r>
        <w:t xml:space="preserve">.). </w:t>
      </w:r>
      <w:r>
        <w:rPr>
          <w:i/>
          <w:iCs/>
        </w:rPr>
        <w:t xml:space="preserve">International </w:t>
      </w:r>
      <w:proofErr w:type="spellStart"/>
      <w:r>
        <w:rPr>
          <w:i/>
          <w:iCs/>
        </w:rPr>
        <w:t>Rook</w:t>
      </w:r>
      <w:proofErr w:type="spellEnd"/>
      <w:r>
        <w:rPr>
          <w:i/>
          <w:iCs/>
        </w:rPr>
        <w:t xml:space="preserve"> Publishing,</w:t>
      </w:r>
      <w:r>
        <w:t xml:space="preserve"> cit. dílo, s. 531-538;</w:t>
      </w:r>
    </w:p>
    <w:p w14:paraId="0056A1EA" w14:textId="77777777" w:rsidR="00845B18" w:rsidRDefault="00000000">
      <w:pPr>
        <w:spacing w:line="14" w:lineRule="exact"/>
        <w:sectPr w:rsidR="00845B18">
          <w:pgSz w:w="8400" w:h="11900"/>
          <w:pgMar w:top="360" w:right="360" w:bottom="360" w:left="360" w:header="0" w:footer="3" w:gutter="0"/>
          <w:cols w:space="720"/>
          <w:noEndnote/>
          <w:docGrid w:linePitch="360"/>
        </w:sectPr>
      </w:pPr>
      <w:r>
        <w:rPr>
          <w:rFonts w:ascii="Times New Roman" w:eastAsia="Times New Roman" w:hAnsi="Times New Roman" w:cs="Times New Roman"/>
          <w:noProof/>
          <w:sz w:val="15"/>
          <w:szCs w:val="15"/>
        </w:rPr>
        <w:drawing>
          <wp:anchor distT="0" distB="0" distL="0" distR="0" simplePos="0" relativeHeight="251662336" behindDoc="1" locked="0" layoutInCell="1" allowOverlap="1" wp14:anchorId="021C3897" wp14:editId="0FB39CC0">
            <wp:simplePos x="0" y="0"/>
            <wp:positionH relativeFrom="page">
              <wp:posOffset>606425</wp:posOffset>
            </wp:positionH>
            <wp:positionV relativeFrom="page">
              <wp:posOffset>810260</wp:posOffset>
            </wp:positionV>
            <wp:extent cx="3724910" cy="1329055"/>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5"/>
                    <a:stretch/>
                  </pic:blipFill>
                  <pic:spPr>
                    <a:xfrm>
                      <a:off x="0" y="0"/>
                      <a:ext cx="3724910" cy="1329055"/>
                    </a:xfrm>
                    <a:prstGeom prst="rect">
                      <a:avLst/>
                    </a:prstGeom>
                  </pic:spPr>
                </pic:pic>
              </a:graphicData>
            </a:graphic>
          </wp:anchor>
        </w:drawing>
      </w:r>
    </w:p>
    <w:p w14:paraId="168E4A41" w14:textId="77777777" w:rsidR="00845B18" w:rsidRDefault="00845B18">
      <w:pPr>
        <w:spacing w:line="14" w:lineRule="exact"/>
      </w:pPr>
    </w:p>
    <w:p w14:paraId="6BC35496" w14:textId="77777777" w:rsidR="00845B18" w:rsidRDefault="00000000">
      <w:pPr>
        <w:pStyle w:val="Zhlavnebozpat0"/>
        <w:framePr w:wrap="none" w:vAnchor="page" w:hAnchor="page" w:x="4343" w:y="149"/>
        <w:shd w:val="clear" w:color="auto" w:fill="auto"/>
        <w:rPr>
          <w:sz w:val="17"/>
          <w:szCs w:val="17"/>
        </w:rPr>
      </w:pPr>
      <w:r>
        <w:rPr>
          <w:sz w:val="17"/>
          <w:szCs w:val="17"/>
        </w:rPr>
        <w:t xml:space="preserve">I </w:t>
      </w:r>
      <w:proofErr w:type="gramStart"/>
      <w:r>
        <w:rPr>
          <w:sz w:val="17"/>
          <w:szCs w:val="17"/>
        </w:rPr>
        <w:t>2«l</w:t>
      </w:r>
      <w:proofErr w:type="gramEnd"/>
    </w:p>
    <w:p w14:paraId="3F90F6CF" w14:textId="77777777" w:rsidR="00845B18" w:rsidRDefault="00000000">
      <w:pPr>
        <w:pStyle w:val="Zkladntext20"/>
        <w:framePr w:w="6989" w:h="1786" w:hRule="exact" w:wrap="none" w:vAnchor="page" w:hAnchor="page" w:x="992" w:y="648"/>
        <w:shd w:val="clear" w:color="auto" w:fill="auto"/>
        <w:spacing w:after="0" w:line="290" w:lineRule="auto"/>
        <w:rPr>
          <w:sz w:val="18"/>
          <w:szCs w:val="18"/>
        </w:rPr>
      </w:pPr>
      <w:r>
        <w:rPr>
          <w:sz w:val="18"/>
          <w:szCs w:val="18"/>
        </w:rPr>
        <w:t>třicetkrát větší než český. Počet titulů se v posledních letech ustálil na zhruba 95 000 (94 698 v roce 2012), přičemž za posledních patnáct let sledujeme postupný nárůst — v roce 1997 vyšlo 77 889 titulů. Působí zde kolem 15 000 nakladatelství; nejvíce jich je v Berlíně (následuje Mnichov, Hamburk, Stuttgart a Kolín nad Rýnem). Poměrně značné popularitě se v Německu těší audioknihy; pokud však jde o jejich podíl na celkové pro</w:t>
      </w:r>
      <w:r>
        <w:rPr>
          <w:sz w:val="18"/>
          <w:szCs w:val="18"/>
        </w:rPr>
        <w:softHyphen/>
        <w:t>dukci, jsou to necelá čtyři procenta; z nich téměř polovinu tvoří beletrie. Není nepodstat</w:t>
      </w:r>
      <w:r>
        <w:rPr>
          <w:sz w:val="18"/>
          <w:szCs w:val="18"/>
        </w:rPr>
        <w:softHyphen/>
        <w:t>né podívat se, jak je v Německu mezi jednotlivými distribučními kanály rozložen zisk.</w:t>
      </w:r>
    </w:p>
    <w:p w14:paraId="37593A0B" w14:textId="77777777" w:rsidR="00845B18" w:rsidRDefault="00000000">
      <w:pPr>
        <w:pStyle w:val="Titulekobrzku0"/>
        <w:framePr w:wrap="none" w:vAnchor="page" w:hAnchor="page" w:x="3056" w:y="2630"/>
        <w:shd w:val="clear" w:color="auto" w:fill="auto"/>
        <w:rPr>
          <w:sz w:val="16"/>
          <w:szCs w:val="16"/>
        </w:rPr>
      </w:pPr>
      <w:r>
        <w:rPr>
          <w:rFonts w:ascii="Calibri" w:eastAsia="Calibri" w:hAnsi="Calibri" w:cs="Calibri"/>
          <w:b w:val="0"/>
          <w:bCs w:val="0"/>
          <w:sz w:val="16"/>
          <w:szCs w:val="16"/>
        </w:rPr>
        <w:t>Graf 1.3 Německo — distribuční kanály</w:t>
      </w:r>
    </w:p>
    <w:p w14:paraId="75147F7A" w14:textId="77777777" w:rsidR="00845B18" w:rsidRDefault="00000000">
      <w:pPr>
        <w:pStyle w:val="Titulekobrzku0"/>
        <w:framePr w:w="1142" w:h="307" w:hRule="exact" w:wrap="none" w:vAnchor="page" w:hAnchor="page" w:x="2221" w:y="3163"/>
        <w:shd w:val="clear" w:color="auto" w:fill="auto"/>
        <w:spacing w:line="310" w:lineRule="auto"/>
        <w:rPr>
          <w:sz w:val="12"/>
          <w:szCs w:val="12"/>
        </w:rPr>
      </w:pPr>
      <w:r>
        <w:rPr>
          <w:sz w:val="12"/>
          <w:szCs w:val="12"/>
        </w:rPr>
        <w:t>zásilkový obchod</w:t>
      </w:r>
    </w:p>
    <w:p w14:paraId="2E6B501A" w14:textId="77777777" w:rsidR="00845B18" w:rsidRDefault="00000000">
      <w:pPr>
        <w:pStyle w:val="Titulekobrzku0"/>
        <w:framePr w:w="1142" w:h="307" w:hRule="exact" w:wrap="none" w:vAnchor="page" w:hAnchor="page" w:x="2221" w:y="3163"/>
        <w:shd w:val="clear" w:color="auto" w:fill="auto"/>
        <w:ind w:right="100"/>
        <w:jc w:val="center"/>
        <w:rPr>
          <w:sz w:val="14"/>
          <w:szCs w:val="14"/>
        </w:rPr>
      </w:pPr>
      <w:r>
        <w:rPr>
          <w:rFonts w:ascii="Times New Roman" w:eastAsia="Times New Roman" w:hAnsi="Times New Roman" w:cs="Times New Roman"/>
          <w:b w:val="0"/>
          <w:bCs w:val="0"/>
          <w:sz w:val="14"/>
          <w:szCs w:val="14"/>
        </w:rPr>
        <w:t>3%</w:t>
      </w:r>
    </w:p>
    <w:p w14:paraId="65ECB4C2" w14:textId="77777777" w:rsidR="00845B18" w:rsidRDefault="00000000">
      <w:pPr>
        <w:pStyle w:val="Titulekobrzku0"/>
        <w:framePr w:w="1171" w:h="360" w:hRule="exact" w:wrap="none" w:vAnchor="page" w:hAnchor="page" w:x="2221" w:y="3782"/>
        <w:shd w:val="clear" w:color="auto" w:fill="auto"/>
        <w:spacing w:line="310" w:lineRule="auto"/>
        <w:jc w:val="center"/>
        <w:rPr>
          <w:sz w:val="12"/>
          <w:szCs w:val="12"/>
        </w:rPr>
      </w:pPr>
      <w:r>
        <w:rPr>
          <w:sz w:val="12"/>
          <w:szCs w:val="12"/>
        </w:rPr>
        <w:t>jiná nákupní místa</w:t>
      </w:r>
    </w:p>
    <w:p w14:paraId="44DF62F9" w14:textId="77777777" w:rsidR="00845B18" w:rsidRDefault="00000000">
      <w:pPr>
        <w:pStyle w:val="Titulekobrzku0"/>
        <w:framePr w:w="1171" w:h="360" w:hRule="exact" w:wrap="none" w:vAnchor="page" w:hAnchor="page" w:x="2221" w:y="3782"/>
        <w:shd w:val="clear" w:color="auto" w:fill="auto"/>
        <w:spacing w:line="310" w:lineRule="auto"/>
        <w:ind w:right="327"/>
        <w:jc w:val="center"/>
        <w:rPr>
          <w:sz w:val="12"/>
          <w:szCs w:val="12"/>
        </w:rPr>
      </w:pPr>
      <w:r>
        <w:rPr>
          <w:sz w:val="12"/>
          <w:szCs w:val="12"/>
        </w:rPr>
        <w:t>10%</w:t>
      </w:r>
    </w:p>
    <w:p w14:paraId="48E4C4E5" w14:textId="77777777" w:rsidR="00845B18" w:rsidRDefault="00000000">
      <w:pPr>
        <w:pStyle w:val="Titulekobrzku0"/>
        <w:framePr w:wrap="none" w:vAnchor="page" w:hAnchor="page" w:x="2922" w:y="7080"/>
        <w:shd w:val="clear" w:color="auto" w:fill="auto"/>
        <w:rPr>
          <w:sz w:val="12"/>
          <w:szCs w:val="12"/>
        </w:rPr>
      </w:pPr>
      <w:r>
        <w:rPr>
          <w:b w:val="0"/>
          <w:bCs w:val="0"/>
          <w:sz w:val="12"/>
          <w:szCs w:val="12"/>
        </w:rPr>
        <w:t xml:space="preserve">Zdroj: </w:t>
      </w:r>
      <w:proofErr w:type="spellStart"/>
      <w:r>
        <w:rPr>
          <w:b w:val="0"/>
          <w:bCs w:val="0"/>
          <w:sz w:val="12"/>
          <w:szCs w:val="12"/>
          <w:lang w:val="fr-FR" w:eastAsia="fr-FR" w:bidi="fr-FR"/>
        </w:rPr>
        <w:t>Bôrsenverein</w:t>
      </w:r>
      <w:proofErr w:type="spellEnd"/>
      <w:r>
        <w:rPr>
          <w:b w:val="0"/>
          <w:bCs w:val="0"/>
          <w:sz w:val="12"/>
          <w:szCs w:val="12"/>
          <w:lang w:val="fr-FR" w:eastAsia="fr-FR" w:bidi="fr-FR"/>
        </w:rPr>
        <w:t xml:space="preserve"> des </w:t>
      </w:r>
      <w:proofErr w:type="spellStart"/>
      <w:r>
        <w:rPr>
          <w:b w:val="0"/>
          <w:bCs w:val="0"/>
          <w:sz w:val="12"/>
          <w:szCs w:val="12"/>
        </w:rPr>
        <w:t>Deutschen</w:t>
      </w:r>
      <w:proofErr w:type="spellEnd"/>
      <w:r>
        <w:rPr>
          <w:b w:val="0"/>
          <w:bCs w:val="0"/>
          <w:sz w:val="12"/>
          <w:szCs w:val="12"/>
        </w:rPr>
        <w:t xml:space="preserve"> </w:t>
      </w:r>
      <w:proofErr w:type="spellStart"/>
      <w:r>
        <w:rPr>
          <w:b w:val="0"/>
          <w:bCs w:val="0"/>
          <w:sz w:val="12"/>
          <w:szCs w:val="12"/>
        </w:rPr>
        <w:t>Buchhandels</w:t>
      </w:r>
      <w:proofErr w:type="spellEnd"/>
      <w:r>
        <w:rPr>
          <w:b w:val="0"/>
          <w:bCs w:val="0"/>
          <w:sz w:val="12"/>
          <w:szCs w:val="12"/>
        </w:rPr>
        <w:t xml:space="preserve"> (2012)</w:t>
      </w:r>
    </w:p>
    <w:p w14:paraId="0B626840" w14:textId="77777777" w:rsidR="00845B18" w:rsidRDefault="00000000">
      <w:pPr>
        <w:pStyle w:val="Zkladntext20"/>
        <w:framePr w:w="6989" w:h="2539" w:hRule="exact" w:wrap="none" w:vAnchor="page" w:hAnchor="page" w:x="992" w:y="7402"/>
        <w:shd w:val="clear" w:color="auto" w:fill="auto"/>
        <w:spacing w:after="0" w:line="290" w:lineRule="auto"/>
        <w:rPr>
          <w:sz w:val="18"/>
          <w:szCs w:val="18"/>
        </w:rPr>
      </w:pPr>
      <w:r>
        <w:rPr>
          <w:sz w:val="18"/>
          <w:szCs w:val="18"/>
        </w:rPr>
        <w:t>Nejviditelnější tendencí posledních let je mírná ztráta tradičních knihkupectví a super</w:t>
      </w:r>
      <w:r>
        <w:rPr>
          <w:sz w:val="18"/>
          <w:szCs w:val="18"/>
        </w:rPr>
        <w:softHyphen/>
        <w:t>marketů a posilování internetu; podíl přímého prodeje, tj. prodeje od nakladatele k na</w:t>
      </w:r>
      <w:r>
        <w:rPr>
          <w:sz w:val="18"/>
          <w:szCs w:val="18"/>
        </w:rPr>
        <w:softHyphen/>
        <w:t xml:space="preserve">byvateli, je víceméně konstantní. Počet dospělých </w:t>
      </w:r>
      <w:proofErr w:type="gramStart"/>
      <w:r>
        <w:rPr>
          <w:sz w:val="18"/>
          <w:szCs w:val="18"/>
        </w:rPr>
        <w:t>( 15</w:t>
      </w:r>
      <w:proofErr w:type="gramEnd"/>
      <w:r>
        <w:rPr>
          <w:sz w:val="18"/>
          <w:szCs w:val="18"/>
        </w:rPr>
        <w:t>+ let) deklarujících čtení aspoň jed</w:t>
      </w:r>
      <w:r>
        <w:rPr>
          <w:sz w:val="18"/>
          <w:szCs w:val="18"/>
        </w:rPr>
        <w:softHyphen/>
        <w:t xml:space="preserve">né knihy za rok je něco málo přes 70 procent, přičemž 50-60 procent obyvatel </w:t>
      </w:r>
      <w:r>
        <w:rPr>
          <w:sz w:val="18"/>
          <w:szCs w:val="18"/>
          <w:lang w:val="fr-FR" w:eastAsia="fr-FR" w:bidi="fr-FR"/>
        </w:rPr>
        <w:t xml:space="preserve">si </w:t>
      </w:r>
      <w:r>
        <w:rPr>
          <w:sz w:val="18"/>
          <w:szCs w:val="18"/>
        </w:rPr>
        <w:t>ročně koupí aspoň jednu knihu. Pro nákupní cyklus platí v Německu totéž co i jinde v Evropě, a sice pravidlo „20-20-20-40“, tj. že v každém z prvních tří kvartálů se prodá 20 procent ročního objemu, v kvartálu posledním je to dvojnásobek (tzv. efekt Vánoc). Z trendů po</w:t>
      </w:r>
      <w:r>
        <w:rPr>
          <w:sz w:val="18"/>
          <w:szCs w:val="18"/>
        </w:rPr>
        <w:softHyphen/>
        <w:t xml:space="preserve">slední doby je nutno uvést stabilní postavení beletrie, ale znatelný úbytek knih věcných a odborných; stálé (ba mírně posilující) postavení </w:t>
      </w:r>
      <w:r>
        <w:rPr>
          <w:sz w:val="18"/>
          <w:szCs w:val="18"/>
          <w:lang w:val="fr-FR" w:eastAsia="fr-FR" w:bidi="fr-FR"/>
        </w:rPr>
        <w:t xml:space="preserve">si </w:t>
      </w:r>
      <w:r>
        <w:rPr>
          <w:sz w:val="18"/>
          <w:szCs w:val="18"/>
        </w:rPr>
        <w:t>v tomto segmentu udržují jen ku</w:t>
      </w:r>
      <w:r>
        <w:rPr>
          <w:sz w:val="18"/>
          <w:szCs w:val="18"/>
        </w:rPr>
        <w:softHyphen/>
        <w:t>chařky. — Německo se může pyšnit i největší knižní událostí roku v rámci celého světa;</w:t>
      </w:r>
    </w:p>
    <w:p w14:paraId="594617AB" w14:textId="77777777" w:rsidR="00845B18" w:rsidRDefault="00000000">
      <w:pPr>
        <w:pStyle w:val="Zkladntext1"/>
        <w:framePr w:w="6989" w:h="1574" w:hRule="exact" w:wrap="none" w:vAnchor="page" w:hAnchor="page" w:x="992" w:y="10128"/>
        <w:shd w:val="clear" w:color="auto" w:fill="auto"/>
        <w:spacing w:line="266" w:lineRule="auto"/>
        <w:ind w:left="280" w:firstLine="20"/>
      </w:pPr>
      <w:r>
        <w:rPr>
          <w:smallCaps/>
        </w:rPr>
        <w:t>Kováč,</w:t>
      </w:r>
      <w:r>
        <w:t xml:space="preserve"> </w:t>
      </w:r>
      <w:proofErr w:type="spellStart"/>
      <w:r>
        <w:t>Miha</w:t>
      </w:r>
      <w:proofErr w:type="spellEnd"/>
      <w:r>
        <w:t>. „</w:t>
      </w:r>
      <w:proofErr w:type="spellStart"/>
      <w:r>
        <w:t>The</w:t>
      </w:r>
      <w:proofErr w:type="spellEnd"/>
      <w:r>
        <w:t xml:space="preserve"> </w:t>
      </w:r>
      <w:proofErr w:type="spellStart"/>
      <w:r>
        <w:t>State</w:t>
      </w:r>
      <w:proofErr w:type="spellEnd"/>
      <w:r>
        <w:t xml:space="preserve"> </w:t>
      </w:r>
      <w:proofErr w:type="spellStart"/>
      <w:r>
        <w:t>of</w:t>
      </w:r>
      <w:proofErr w:type="spellEnd"/>
      <w:r>
        <w:t xml:space="preserve"> </w:t>
      </w:r>
      <w:proofErr w:type="spellStart"/>
      <w:r>
        <w:t>Affairs</w:t>
      </w:r>
      <w:proofErr w:type="spellEnd"/>
      <w:r>
        <w:t xml:space="preserve"> in Post-</w:t>
      </w:r>
      <w:proofErr w:type="spellStart"/>
      <w:r>
        <w:t>Communist</w:t>
      </w:r>
      <w:proofErr w:type="spellEnd"/>
      <w:r>
        <w:t xml:space="preserve"> </w:t>
      </w:r>
      <w:proofErr w:type="spellStart"/>
      <w:r>
        <w:t>Central</w:t>
      </w:r>
      <w:proofErr w:type="spellEnd"/>
      <w:r>
        <w:t xml:space="preserve"> and </w:t>
      </w:r>
      <w:proofErr w:type="spellStart"/>
      <w:r>
        <w:t>Eastern</w:t>
      </w:r>
      <w:proofErr w:type="spellEnd"/>
      <w:r>
        <w:t xml:space="preserve"> </w:t>
      </w:r>
      <w:proofErr w:type="spellStart"/>
      <w:r>
        <w:t>European</w:t>
      </w:r>
      <w:proofErr w:type="spellEnd"/>
      <w:r>
        <w:t xml:space="preserve"> </w:t>
      </w:r>
      <w:proofErr w:type="spellStart"/>
      <w:r>
        <w:t>Book</w:t>
      </w:r>
      <w:proofErr w:type="spellEnd"/>
      <w:r>
        <w:t xml:space="preserve"> </w:t>
      </w:r>
      <w:proofErr w:type="spellStart"/>
      <w:r>
        <w:t>Industries</w:t>
      </w:r>
      <w:proofErr w:type="spellEnd"/>
      <w:r>
        <w:t xml:space="preserve">“, </w:t>
      </w:r>
      <w:proofErr w:type="spellStart"/>
      <w:r>
        <w:rPr>
          <w:i/>
          <w:iCs/>
        </w:rPr>
        <w:t>PublishingResearch</w:t>
      </w:r>
      <w:proofErr w:type="spellEnd"/>
      <w:r>
        <w:rPr>
          <w:i/>
          <w:iCs/>
        </w:rPr>
        <w:t xml:space="preserve"> </w:t>
      </w:r>
      <w:proofErr w:type="spellStart"/>
      <w:r>
        <w:rPr>
          <w:i/>
          <w:iCs/>
        </w:rPr>
        <w:t>Quarterly</w:t>
      </w:r>
      <w:proofErr w:type="spellEnd"/>
      <w:r>
        <w:t xml:space="preserve"> 18, 2002, č. 3, s. 43-53; „Rynek </w:t>
      </w:r>
      <w:proofErr w:type="spellStart"/>
      <w:r>
        <w:t>ksi^žki</w:t>
      </w:r>
      <w:proofErr w:type="spellEnd"/>
      <w:r>
        <w:t xml:space="preserve"> w </w:t>
      </w:r>
      <w:proofErr w:type="spellStart"/>
      <w:r>
        <w:t>Polsce</w:t>
      </w:r>
      <w:proofErr w:type="spellEnd"/>
      <w:r>
        <w:t xml:space="preserve"> 2012“, on-line: </w:t>
      </w:r>
      <w:r>
        <w:rPr>
          <w:u w:val="single"/>
        </w:rPr>
        <w:t xml:space="preserve">http://www. </w:t>
      </w:r>
      <w:r>
        <w:rPr>
          <w:lang w:val="en-US" w:eastAsia="en-US" w:bidi="en-US"/>
        </w:rPr>
        <w:t>instytutksiazki.pl/upload/</w:t>
      </w:r>
      <w:proofErr w:type="spellStart"/>
      <w:r>
        <w:rPr>
          <w:lang w:val="en-US" w:eastAsia="en-US" w:bidi="en-US"/>
        </w:rPr>
        <w:t>ldcs</w:t>
      </w:r>
      <w:proofErr w:type="spellEnd"/>
      <w:r>
        <w:rPr>
          <w:lang w:val="en-US" w:eastAsia="en-US" w:bidi="en-US"/>
        </w:rPr>
        <w:t>/</w:t>
      </w:r>
      <w:proofErr w:type="spellStart"/>
      <w:r>
        <w:rPr>
          <w:lang w:val="en-US" w:eastAsia="en-US" w:bidi="en-US"/>
        </w:rPr>
        <w:t>rynekksiazki</w:t>
      </w:r>
      <w:proofErr w:type="spellEnd"/>
      <w:r>
        <w:rPr>
          <w:lang w:val="en-US" w:eastAsia="en-US" w:bidi="en-US"/>
        </w:rPr>
        <w:t xml:space="preserve"> _2012.pdf </w:t>
      </w:r>
      <w:r>
        <w:t xml:space="preserve">[přístup 2013-12-06); </w:t>
      </w:r>
      <w:proofErr w:type="spellStart"/>
      <w:r>
        <w:rPr>
          <w:smallCaps/>
        </w:rPr>
        <w:t>Sciirapk</w:t>
      </w:r>
      <w:proofErr w:type="spellEnd"/>
      <w:r>
        <w:rPr>
          <w:smallCaps/>
        </w:rPr>
        <w:t>,</w:t>
      </w:r>
      <w:r>
        <w:t xml:space="preserve"> Jan-</w:t>
      </w:r>
      <w:proofErr w:type="spellStart"/>
      <w:r>
        <w:t>Pelix</w:t>
      </w:r>
      <w:proofErr w:type="spellEnd"/>
      <w:r>
        <w:t xml:space="preserve">. </w:t>
      </w:r>
      <w:r>
        <w:rPr>
          <w:i/>
          <w:iCs/>
        </w:rPr>
        <w:t xml:space="preserve">Der </w:t>
      </w:r>
      <w:proofErr w:type="spellStart"/>
      <w:r>
        <w:rPr>
          <w:i/>
          <w:iCs/>
        </w:rPr>
        <w:t>Wandel</w:t>
      </w:r>
      <w:proofErr w:type="spellEnd"/>
      <w:r>
        <w:rPr>
          <w:i/>
          <w:iCs/>
        </w:rPr>
        <w:t xml:space="preserve"> </w:t>
      </w:r>
      <w:r>
        <w:rPr>
          <w:i/>
          <w:iCs/>
          <w:lang w:val="fr-FR" w:eastAsia="fr-FR" w:bidi="fr-FR"/>
        </w:rPr>
        <w:t xml:space="preserve">des </w:t>
      </w:r>
      <w:proofErr w:type="spellStart"/>
      <w:r>
        <w:rPr>
          <w:i/>
          <w:iCs/>
        </w:rPr>
        <w:t>Buchhandels</w:t>
      </w:r>
      <w:proofErr w:type="spellEnd"/>
      <w:r>
        <w:rPr>
          <w:i/>
          <w:iCs/>
        </w:rPr>
        <w:t xml:space="preserve"> durch </w:t>
      </w:r>
      <w:proofErr w:type="spellStart"/>
      <w:r>
        <w:rPr>
          <w:i/>
          <w:iCs/>
        </w:rPr>
        <w:t>Digitalisierung</w:t>
      </w:r>
      <w:proofErr w:type="spellEnd"/>
      <w:r>
        <w:rPr>
          <w:i/>
          <w:iCs/>
        </w:rPr>
        <w:t xml:space="preserve"> </w:t>
      </w:r>
      <w:proofErr w:type="spellStart"/>
      <w:r>
        <w:rPr>
          <w:i/>
          <w:iCs/>
        </w:rPr>
        <w:t>und</w:t>
      </w:r>
      <w:proofErr w:type="spellEnd"/>
      <w:r>
        <w:rPr>
          <w:i/>
          <w:iCs/>
        </w:rPr>
        <w:t xml:space="preserve"> </w:t>
      </w:r>
      <w:proofErr w:type="gramStart"/>
      <w:r>
        <w:rPr>
          <w:i/>
          <w:iCs/>
        </w:rPr>
        <w:t>Internet</w:t>
      </w:r>
      <w:proofErr w:type="gramEnd"/>
      <w:r>
        <w:rPr>
          <w:i/>
          <w:iCs/>
        </w:rPr>
        <w:t>,</w:t>
      </w:r>
      <w:r>
        <w:t xml:space="preserve"> on-line: </w:t>
      </w:r>
      <w:hyperlink r:id="rId16" w:history="1">
        <w:r>
          <w:rPr>
            <w:lang w:val="en-US" w:eastAsia="en-US" w:bidi="en-US"/>
          </w:rPr>
          <w:t>http://www.uni-stuttgart.de/soz/oi/</w:t>
        </w:r>
      </w:hyperlink>
      <w:r>
        <w:rPr>
          <w:lang w:val="en-US" w:eastAsia="en-US" w:bidi="en-US"/>
        </w:rPr>
        <w:t xml:space="preserve"> </w:t>
      </w:r>
      <w:proofErr w:type="spellStart"/>
      <w:r>
        <w:t>publikationcn</w:t>
      </w:r>
      <w:proofErr w:type="spellEnd"/>
      <w:r>
        <w:t xml:space="preserve">/SCI IRAPE2011 </w:t>
      </w:r>
      <w:proofErr w:type="spellStart"/>
      <w:r>
        <w:t>Wandcl</w:t>
      </w:r>
      <w:proofErr w:type="spellEnd"/>
      <w:r>
        <w:t>_</w:t>
      </w:r>
      <w:r>
        <w:rPr>
          <w:lang w:val="fr-FR" w:eastAsia="fr-FR" w:bidi="fr-FR"/>
        </w:rPr>
        <w:t xml:space="preserve">des </w:t>
      </w:r>
      <w:r>
        <w:t xml:space="preserve">Buchhandcls.pdf [přístup 2014 03 311; </w:t>
      </w:r>
      <w:proofErr w:type="spellStart"/>
      <w:r>
        <w:t>Um.</w:t>
      </w:r>
      <w:r>
        <w:rPr>
          <w:smallCaps/>
        </w:rPr>
        <w:t>kí</w:t>
      </w:r>
      <w:proofErr w:type="spellEnd"/>
      <w:r>
        <w:rPr>
          <w:smallCaps/>
        </w:rPr>
        <w:t>,</w:t>
      </w:r>
      <w:r>
        <w:t xml:space="preserve"> Christian. „</w:t>
      </w:r>
      <w:proofErr w:type="spellStart"/>
      <w:r>
        <w:t>Buchhandel</w:t>
      </w:r>
      <w:proofErr w:type="spellEnd"/>
      <w:r>
        <w:t xml:space="preserve">“, in: </w:t>
      </w:r>
      <w:proofErr w:type="spellStart"/>
      <w:r>
        <w:rPr>
          <w:smallCaps/>
        </w:rPr>
        <w:t>Pranzmann</w:t>
      </w:r>
      <w:proofErr w:type="spellEnd"/>
      <w:r>
        <w:rPr>
          <w:smallCaps/>
        </w:rPr>
        <w:t>,</w:t>
      </w:r>
      <w:r>
        <w:t xml:space="preserve"> Bodo ad. (</w:t>
      </w:r>
      <w:proofErr w:type="spellStart"/>
      <w:r>
        <w:t>cds</w:t>
      </w:r>
      <w:proofErr w:type="spellEnd"/>
      <w:r>
        <w:t xml:space="preserve">.). </w:t>
      </w:r>
      <w:proofErr w:type="spellStart"/>
      <w:r>
        <w:rPr>
          <w:i/>
          <w:iCs/>
        </w:rPr>
        <w:t>Ilandbuch</w:t>
      </w:r>
      <w:proofErr w:type="spellEnd"/>
      <w:r>
        <w:rPr>
          <w:i/>
          <w:iCs/>
        </w:rPr>
        <w:t xml:space="preserve"> </w:t>
      </w:r>
      <w:r>
        <w:rPr>
          <w:i/>
          <w:iCs/>
          <w:lang w:val="es-ES" w:eastAsia="es-ES" w:bidi="es-ES"/>
        </w:rPr>
        <w:t>Pesen,</w:t>
      </w:r>
      <w:r>
        <w:rPr>
          <w:lang w:val="es-ES" w:eastAsia="es-ES" w:bidi="es-ES"/>
        </w:rPr>
        <w:t xml:space="preserve"> </w:t>
      </w:r>
      <w:proofErr w:type="spellStart"/>
      <w:r>
        <w:t>Baltmannswcilcr</w:t>
      </w:r>
      <w:proofErr w:type="spellEnd"/>
      <w:r>
        <w:t xml:space="preserve">: Schneider </w:t>
      </w:r>
      <w:proofErr w:type="spellStart"/>
      <w:r>
        <w:t>Verlag</w:t>
      </w:r>
      <w:proofErr w:type="spellEnd"/>
      <w:r>
        <w:t xml:space="preserve"> I </w:t>
      </w:r>
      <w:proofErr w:type="spellStart"/>
      <w:r>
        <w:t>lohchngchrcn</w:t>
      </w:r>
      <w:proofErr w:type="spellEnd"/>
      <w:r>
        <w:t xml:space="preserve">, 2001, s. 356 393; </w:t>
      </w:r>
      <w:proofErr w:type="spellStart"/>
      <w:r>
        <w:rPr>
          <w:smallCaps/>
        </w:rPr>
        <w:t>Wachthl</w:t>
      </w:r>
      <w:proofErr w:type="spellEnd"/>
      <w:r>
        <w:rPr>
          <w:smallCaps/>
        </w:rPr>
        <w:t>,</w:t>
      </w:r>
      <w:r>
        <w:t xml:space="preserve"> </w:t>
      </w:r>
      <w:r>
        <w:rPr>
          <w:lang w:val="fr-FR" w:eastAsia="fr-FR" w:bidi="fr-FR"/>
        </w:rPr>
        <w:t xml:space="preserve">Andrew </w:t>
      </w:r>
      <w:proofErr w:type="spellStart"/>
      <w:r>
        <w:t>Baruch</w:t>
      </w:r>
      <w:proofErr w:type="spellEnd"/>
      <w:r>
        <w:t xml:space="preserve">. </w:t>
      </w:r>
      <w:proofErr w:type="spellStart"/>
      <w:r>
        <w:rPr>
          <w:i/>
          <w:iCs/>
          <w:sz w:val="16"/>
          <w:szCs w:val="16"/>
        </w:rPr>
        <w:t>Remaininy</w:t>
      </w:r>
      <w:proofErr w:type="spellEnd"/>
      <w:r>
        <w:rPr>
          <w:i/>
          <w:iCs/>
          <w:sz w:val="16"/>
          <w:szCs w:val="16"/>
        </w:rPr>
        <w:t xml:space="preserve"> </w:t>
      </w:r>
      <w:r>
        <w:rPr>
          <w:i/>
          <w:iCs/>
          <w:lang w:val="fr-FR" w:eastAsia="fr-FR" w:bidi="fr-FR"/>
        </w:rPr>
        <w:t xml:space="preserve">Relevant aller </w:t>
      </w:r>
      <w:r>
        <w:rPr>
          <w:i/>
          <w:iCs/>
          <w:lang w:val="es-ES" w:eastAsia="es-ES" w:bidi="es-ES"/>
        </w:rPr>
        <w:t>('</w:t>
      </w:r>
      <w:proofErr w:type="spellStart"/>
      <w:r>
        <w:rPr>
          <w:i/>
          <w:iCs/>
          <w:lang w:val="es-ES" w:eastAsia="es-ES" w:bidi="es-ES"/>
        </w:rPr>
        <w:t>ornmunism</w:t>
      </w:r>
      <w:proofErr w:type="spellEnd"/>
      <w:r>
        <w:rPr>
          <w:i/>
          <w:iCs/>
          <w:lang w:val="es-ES" w:eastAsia="es-ES" w:bidi="es-ES"/>
        </w:rPr>
        <w:t xml:space="preserve">. ¡he Role </w:t>
      </w:r>
      <w:proofErr w:type="spellStart"/>
      <w:r>
        <w:rPr>
          <w:i/>
          <w:iCs/>
          <w:lang w:val="es-ES" w:eastAsia="es-ES" w:bidi="es-ES"/>
        </w:rPr>
        <w:t>ofthe</w:t>
      </w:r>
      <w:proofErr w:type="spellEnd"/>
      <w:r>
        <w:rPr>
          <w:i/>
          <w:iCs/>
          <w:lang w:val="es-ES" w:eastAsia="es-ES" w:bidi="es-ES"/>
        </w:rPr>
        <w:t xml:space="preserve"> </w:t>
      </w:r>
      <w:proofErr w:type="spellStart"/>
      <w:r>
        <w:rPr>
          <w:i/>
          <w:iCs/>
          <w:lang w:val="es-ES" w:eastAsia="es-ES" w:bidi="es-ES"/>
        </w:rPr>
        <w:t>Wriler</w:t>
      </w:r>
      <w:proofErr w:type="spellEnd"/>
      <w:r>
        <w:rPr>
          <w:i/>
          <w:iCs/>
          <w:lang w:val="es-ES" w:eastAsia="es-ES" w:bidi="es-ES"/>
        </w:rPr>
        <w:t xml:space="preserve"> in Eastern </w:t>
      </w:r>
      <w:r>
        <w:rPr>
          <w:i/>
          <w:iCs/>
          <w:lang w:val="fr-FR" w:eastAsia="fr-FR" w:bidi="fr-FR"/>
        </w:rPr>
        <w:t>Europe,</w:t>
      </w:r>
      <w:r>
        <w:rPr>
          <w:lang w:val="fr-FR" w:eastAsia="fr-FR" w:bidi="fr-FR"/>
        </w:rPr>
        <w:t xml:space="preserve"> </w:t>
      </w:r>
      <w:proofErr w:type="gramStart"/>
      <w:r>
        <w:rPr>
          <w:lang w:val="es-ES" w:eastAsia="es-ES" w:bidi="es-ES"/>
        </w:rPr>
        <w:t xml:space="preserve">( </w:t>
      </w:r>
      <w:r>
        <w:t>'</w:t>
      </w:r>
      <w:proofErr w:type="spellStart"/>
      <w:proofErr w:type="gramEnd"/>
      <w:r>
        <w:t>hicago</w:t>
      </w:r>
      <w:proofErr w:type="spellEnd"/>
      <w:r>
        <w:t xml:space="preserve"> London: </w:t>
      </w:r>
      <w:r>
        <w:rPr>
          <w:lang w:val="es-ES" w:eastAsia="es-ES" w:bidi="es-ES"/>
        </w:rPr>
        <w:t>( '</w:t>
      </w:r>
      <w:proofErr w:type="spellStart"/>
      <w:r>
        <w:rPr>
          <w:lang w:val="es-ES" w:eastAsia="es-ES" w:bidi="es-ES"/>
        </w:rPr>
        <w:t>hicago</w:t>
      </w:r>
      <w:proofErr w:type="spellEnd"/>
      <w:r>
        <w:rPr>
          <w:lang w:val="es-ES" w:eastAsia="es-ES" w:bidi="es-ES"/>
        </w:rPr>
        <w:t xml:space="preserve"> UP. 2006</w:t>
      </w:r>
    </w:p>
    <w:p w14:paraId="7106F2B4" w14:textId="77777777" w:rsidR="00845B18" w:rsidRDefault="00000000">
      <w:pPr>
        <w:spacing w:line="14" w:lineRule="exact"/>
        <w:sectPr w:rsidR="00845B18">
          <w:pgSz w:w="8400" w:h="11900"/>
          <w:pgMar w:top="360" w:right="360" w:bottom="360" w:left="360" w:header="0" w:footer="3" w:gutter="0"/>
          <w:cols w:space="720"/>
          <w:noEndnote/>
          <w:docGrid w:linePitch="360"/>
        </w:sectPr>
      </w:pPr>
      <w:r>
        <w:rPr>
          <w:rFonts w:ascii="Times New Roman" w:eastAsia="Times New Roman" w:hAnsi="Times New Roman" w:cs="Times New Roman"/>
          <w:noProof/>
          <w:sz w:val="15"/>
          <w:szCs w:val="15"/>
        </w:rPr>
        <w:drawing>
          <wp:anchor distT="0" distB="0" distL="0" distR="0" simplePos="0" relativeHeight="251663360" behindDoc="1" locked="0" layoutInCell="1" allowOverlap="1" wp14:anchorId="789133D2" wp14:editId="757E078B">
            <wp:simplePos x="0" y="0"/>
            <wp:positionH relativeFrom="page">
              <wp:posOffset>1367155</wp:posOffset>
            </wp:positionH>
            <wp:positionV relativeFrom="page">
              <wp:posOffset>1885950</wp:posOffset>
            </wp:positionV>
            <wp:extent cx="2980690" cy="2505710"/>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7"/>
                    <a:stretch/>
                  </pic:blipFill>
                  <pic:spPr>
                    <a:xfrm>
                      <a:off x="0" y="0"/>
                      <a:ext cx="2980690" cy="2505710"/>
                    </a:xfrm>
                    <a:prstGeom prst="rect">
                      <a:avLst/>
                    </a:prstGeom>
                  </pic:spPr>
                </pic:pic>
              </a:graphicData>
            </a:graphic>
          </wp:anchor>
        </w:drawing>
      </w:r>
    </w:p>
    <w:p w14:paraId="3299DFB3" w14:textId="77777777" w:rsidR="00845B18" w:rsidRDefault="00845B18">
      <w:pPr>
        <w:spacing w:line="14" w:lineRule="exact"/>
      </w:pPr>
    </w:p>
    <w:p w14:paraId="542796B1" w14:textId="77777777" w:rsidR="00845B18" w:rsidRDefault="00000000">
      <w:pPr>
        <w:pStyle w:val="Zhlavnebozpat0"/>
        <w:framePr w:wrap="none" w:vAnchor="page" w:hAnchor="page" w:x="3740" w:y="144"/>
        <w:shd w:val="clear" w:color="auto" w:fill="auto"/>
        <w:rPr>
          <w:sz w:val="17"/>
          <w:szCs w:val="17"/>
        </w:rPr>
      </w:pPr>
      <w:r>
        <w:rPr>
          <w:sz w:val="17"/>
          <w:szCs w:val="17"/>
        </w:rPr>
        <w:t>I 2 1 I</w:t>
      </w:r>
    </w:p>
    <w:p w14:paraId="0DCCD4C7" w14:textId="77777777" w:rsidR="00845B18" w:rsidRDefault="00000000">
      <w:pPr>
        <w:pStyle w:val="Zkladntext20"/>
        <w:framePr w:w="6965" w:h="547" w:hRule="exact" w:wrap="none" w:vAnchor="page" w:hAnchor="page" w:x="433" w:y="648"/>
        <w:shd w:val="clear" w:color="auto" w:fill="auto"/>
        <w:spacing w:after="0" w:line="295" w:lineRule="auto"/>
        <w:rPr>
          <w:sz w:val="18"/>
          <w:szCs w:val="18"/>
        </w:rPr>
      </w:pPr>
      <w:r>
        <w:rPr>
          <w:sz w:val="18"/>
          <w:szCs w:val="18"/>
        </w:rPr>
        <w:t xml:space="preserve">každoročním knižním veletrhem ve </w:t>
      </w:r>
      <w:proofErr w:type="spellStart"/>
      <w:r>
        <w:rPr>
          <w:sz w:val="18"/>
          <w:szCs w:val="18"/>
        </w:rPr>
        <w:t>Erankfurtu</w:t>
      </w:r>
      <w:proofErr w:type="spellEnd"/>
      <w:r>
        <w:rPr>
          <w:sz w:val="18"/>
          <w:szCs w:val="18"/>
        </w:rPr>
        <w:t xml:space="preserve"> nad Mohanem. Z tohoto pohledu lze 1'rankfurt považovat za hlavní světové město knižního trhu.</w:t>
      </w:r>
    </w:p>
    <w:p w14:paraId="060B8CEB" w14:textId="77777777" w:rsidR="00845B18" w:rsidRDefault="00000000">
      <w:pPr>
        <w:pStyle w:val="Zkladntext80"/>
        <w:framePr w:w="6965" w:h="4306" w:hRule="exact" w:wrap="none" w:vAnchor="page" w:hAnchor="page" w:x="433" w:y="1526"/>
        <w:shd w:val="clear" w:color="auto" w:fill="auto"/>
      </w:pPr>
      <w:r>
        <w:t>POLSKO</w:t>
      </w:r>
    </w:p>
    <w:p w14:paraId="0429D6CF" w14:textId="77777777" w:rsidR="00845B18" w:rsidRDefault="00000000">
      <w:pPr>
        <w:pStyle w:val="Zkladntext20"/>
        <w:framePr w:w="6965" w:h="4306" w:hRule="exact" w:wrap="none" w:vAnchor="page" w:hAnchor="page" w:x="433" w:y="1526"/>
        <w:shd w:val="clear" w:color="auto" w:fill="auto"/>
        <w:spacing w:after="120" w:line="290" w:lineRule="auto"/>
        <w:rPr>
          <w:sz w:val="18"/>
          <w:szCs w:val="18"/>
        </w:rPr>
      </w:pPr>
      <w:r>
        <w:rPr>
          <w:sz w:val="18"/>
          <w:szCs w:val="18"/>
        </w:rPr>
        <w:t xml:space="preserve">Stejně jako Česká republika </w:t>
      </w:r>
      <w:r>
        <w:rPr>
          <w:sz w:val="18"/>
          <w:szCs w:val="18"/>
          <w:lang w:val="fr-FR" w:eastAsia="fr-FR" w:bidi="fr-FR"/>
        </w:rPr>
        <w:t xml:space="preserve">si </w:t>
      </w:r>
      <w:r>
        <w:rPr>
          <w:sz w:val="18"/>
          <w:szCs w:val="18"/>
        </w:rPr>
        <w:t>i Polsko muselo za posledních pětadvacet let projít proce</w:t>
      </w:r>
      <w:r>
        <w:rPr>
          <w:sz w:val="18"/>
          <w:szCs w:val="18"/>
        </w:rPr>
        <w:softHyphen/>
        <w:t xml:space="preserve">sem transformace státních podniků na podniky z větší části soukromé, přičemž oblast neoficiálního publikování </w:t>
      </w:r>
      <w:r>
        <w:rPr>
          <w:i/>
          <w:iCs/>
          <w:sz w:val="18"/>
          <w:szCs w:val="18"/>
        </w:rPr>
        <w:t>(</w:t>
      </w:r>
      <w:proofErr w:type="spellStart"/>
      <w:r>
        <w:rPr>
          <w:i/>
          <w:iCs/>
          <w:sz w:val="18"/>
          <w:szCs w:val="18"/>
        </w:rPr>
        <w:t>drugi</w:t>
      </w:r>
      <w:proofErr w:type="spellEnd"/>
      <w:r>
        <w:rPr>
          <w:i/>
          <w:iCs/>
          <w:sz w:val="18"/>
          <w:szCs w:val="18"/>
        </w:rPr>
        <w:t xml:space="preserve"> </w:t>
      </w:r>
      <w:proofErr w:type="spellStart"/>
      <w:r>
        <w:rPr>
          <w:i/>
          <w:iCs/>
          <w:sz w:val="18"/>
          <w:szCs w:val="18"/>
        </w:rPr>
        <w:t>obieg</w:t>
      </w:r>
      <w:proofErr w:type="spellEnd"/>
      <w:r>
        <w:rPr>
          <w:i/>
          <w:iCs/>
          <w:sz w:val="18"/>
          <w:szCs w:val="18"/>
        </w:rPr>
        <w:t>)</w:t>
      </w:r>
      <w:r>
        <w:rPr>
          <w:sz w:val="18"/>
          <w:szCs w:val="18"/>
        </w:rPr>
        <w:t xml:space="preserve"> zde tvořila daleko silnější a veřejně viditelnější proud než u nás. S tím souvisel i mnohem strukturovanější černý trh a daleko rozvinu</w:t>
      </w:r>
      <w:r>
        <w:rPr>
          <w:sz w:val="18"/>
          <w:szCs w:val="18"/>
        </w:rPr>
        <w:softHyphen/>
        <w:t>tější tzv. šedá zóna z časů před pádem komunismu. Dalším rozdílem je, že začátek pol</w:t>
      </w:r>
      <w:r>
        <w:rPr>
          <w:sz w:val="18"/>
          <w:szCs w:val="18"/>
        </w:rPr>
        <w:softHyphen/>
        <w:t xml:space="preserve">ské liberalizace spadá do roku 1988. Už tehdy, tj. ještě za starého režimu, začaly vznikat soukromé oficíny, jakkoli skutečný </w:t>
      </w:r>
      <w:r>
        <w:rPr>
          <w:i/>
          <w:iCs/>
          <w:sz w:val="18"/>
          <w:szCs w:val="18"/>
        </w:rPr>
        <w:t>boom</w:t>
      </w:r>
      <w:r>
        <w:rPr>
          <w:sz w:val="18"/>
          <w:szCs w:val="18"/>
        </w:rPr>
        <w:t xml:space="preserve"> nastal až na přelomu let 1989 a 1990. Polský l </w:t>
      </w:r>
      <w:proofErr w:type="spellStart"/>
      <w:r>
        <w:rPr>
          <w:sz w:val="18"/>
          <w:szCs w:val="18"/>
        </w:rPr>
        <w:t>rh</w:t>
      </w:r>
      <w:proofErr w:type="spellEnd"/>
      <w:r>
        <w:rPr>
          <w:sz w:val="18"/>
          <w:szCs w:val="18"/>
        </w:rPr>
        <w:t xml:space="preserve"> díky své velikosti také daleko více přitahoval cizí kapitál než trh český. Své centrum pro střední a východní Evropu </w:t>
      </w:r>
      <w:r>
        <w:rPr>
          <w:sz w:val="18"/>
          <w:szCs w:val="18"/>
          <w:lang w:val="fr-FR" w:eastAsia="fr-FR" w:bidi="fr-FR"/>
        </w:rPr>
        <w:t xml:space="preserve">si </w:t>
      </w:r>
      <w:r>
        <w:rPr>
          <w:sz w:val="18"/>
          <w:szCs w:val="18"/>
        </w:rPr>
        <w:t>zde zřídilo například kanadské nakladatelství Harle</w:t>
      </w:r>
      <w:r>
        <w:rPr>
          <w:sz w:val="18"/>
          <w:szCs w:val="18"/>
        </w:rPr>
        <w:softHyphen/>
        <w:t xml:space="preserve">quin </w:t>
      </w:r>
      <w:proofErr w:type="spellStart"/>
      <w:r>
        <w:rPr>
          <w:sz w:val="18"/>
          <w:szCs w:val="18"/>
        </w:rPr>
        <w:t>Enterprises</w:t>
      </w:r>
      <w:proofErr w:type="spellEnd"/>
      <w:r>
        <w:rPr>
          <w:sz w:val="18"/>
          <w:szCs w:val="18"/>
        </w:rPr>
        <w:t>, které v polovině 90. let publikovalo v Polsku více než polovinu výtisků veškeré beletrie (kolem 20 milionů výtisků).</w:t>
      </w:r>
      <w:r>
        <w:rPr>
          <w:sz w:val="18"/>
          <w:szCs w:val="18"/>
          <w:vertAlign w:val="superscript"/>
        </w:rPr>
        <w:t>8 9</w:t>
      </w:r>
      <w:r>
        <w:rPr>
          <w:sz w:val="18"/>
          <w:szCs w:val="18"/>
        </w:rPr>
        <w:t>)</w:t>
      </w:r>
    </w:p>
    <w:p w14:paraId="542288F5" w14:textId="77777777" w:rsidR="00845B18" w:rsidRDefault="00000000">
      <w:pPr>
        <w:pStyle w:val="Zkladntext20"/>
        <w:framePr w:w="6965" w:h="4306" w:hRule="exact" w:wrap="none" w:vAnchor="page" w:hAnchor="page" w:x="433" w:y="1526"/>
        <w:shd w:val="clear" w:color="auto" w:fill="auto"/>
        <w:spacing w:after="0" w:line="293" w:lineRule="auto"/>
        <w:rPr>
          <w:sz w:val="18"/>
          <w:szCs w:val="18"/>
        </w:rPr>
      </w:pPr>
      <w:r>
        <w:rPr>
          <w:sz w:val="18"/>
          <w:szCs w:val="18"/>
        </w:rPr>
        <w:t xml:space="preserve">V Polsku se v poslední době velmi silně snížil počet čtenářů (v roce 2002 nepřečetlo za rok ani jednu knihu 44 % obyvatel starších 15 let, v roce 2012 to už bylo 61 %), což s </w:t>
      </w:r>
      <w:proofErr w:type="gramStart"/>
      <w:r>
        <w:rPr>
          <w:sz w:val="18"/>
          <w:szCs w:val="18"/>
        </w:rPr>
        <w:t xml:space="preserve">se- </w:t>
      </w:r>
      <w:proofErr w:type="spellStart"/>
      <w:r>
        <w:rPr>
          <w:sz w:val="18"/>
          <w:szCs w:val="18"/>
        </w:rPr>
        <w:t>bou</w:t>
      </w:r>
      <w:proofErr w:type="spellEnd"/>
      <w:proofErr w:type="gramEnd"/>
      <w:r>
        <w:rPr>
          <w:sz w:val="18"/>
          <w:szCs w:val="18"/>
        </w:rPr>
        <w:t xml:space="preserve"> zákonitě táhne dolů i počty těch, kdo knihy kupují. Trendy let 2000-2010 ukazuje následující graf.</w:t>
      </w:r>
    </w:p>
    <w:p w14:paraId="4BECFCF7" w14:textId="77777777" w:rsidR="00845B18" w:rsidRDefault="00000000">
      <w:pPr>
        <w:pStyle w:val="Titulekobrzku0"/>
        <w:framePr w:wrap="none" w:vAnchor="page" w:hAnchor="page" w:x="2118" w:y="6014"/>
        <w:shd w:val="clear" w:color="auto" w:fill="auto"/>
        <w:rPr>
          <w:sz w:val="16"/>
          <w:szCs w:val="16"/>
        </w:rPr>
      </w:pPr>
      <w:r>
        <w:rPr>
          <w:rFonts w:ascii="Calibri" w:eastAsia="Calibri" w:hAnsi="Calibri" w:cs="Calibri"/>
          <w:b w:val="0"/>
          <w:bCs w:val="0"/>
          <w:sz w:val="16"/>
          <w:szCs w:val="16"/>
        </w:rPr>
        <w:t>Graf 1.4 Polsko — čtenáři a kupující (2000-2012)</w:t>
      </w:r>
      <w:r>
        <w:rPr>
          <w:rFonts w:ascii="Calibri" w:eastAsia="Calibri" w:hAnsi="Calibri" w:cs="Calibri"/>
          <w:b w:val="0"/>
          <w:bCs w:val="0"/>
          <w:sz w:val="16"/>
          <w:szCs w:val="16"/>
          <w:vertAlign w:val="superscript"/>
        </w:rPr>
        <w:t>9</w:t>
      </w:r>
      <w:r>
        <w:rPr>
          <w:rFonts w:ascii="Calibri" w:eastAsia="Calibri" w:hAnsi="Calibri" w:cs="Calibri"/>
          <w:b w:val="0"/>
          <w:bCs w:val="0"/>
          <w:sz w:val="16"/>
          <w:szCs w:val="16"/>
        </w:rPr>
        <w:t>)</w:t>
      </w:r>
    </w:p>
    <w:p w14:paraId="5DB16107" w14:textId="77777777" w:rsidR="00845B18" w:rsidRDefault="00000000">
      <w:pPr>
        <w:pStyle w:val="Titulekobrzku0"/>
        <w:framePr w:wrap="none" w:vAnchor="page" w:hAnchor="page" w:x="3140" w:y="8794"/>
        <w:shd w:val="clear" w:color="auto" w:fill="auto"/>
        <w:rPr>
          <w:sz w:val="12"/>
          <w:szCs w:val="12"/>
        </w:rPr>
      </w:pPr>
      <w:r>
        <w:rPr>
          <w:b w:val="0"/>
          <w:bCs w:val="0"/>
          <w:sz w:val="12"/>
          <w:szCs w:val="12"/>
        </w:rPr>
        <w:t xml:space="preserve">Zdroj: Bibliotéka </w:t>
      </w:r>
      <w:proofErr w:type="spellStart"/>
      <w:r>
        <w:rPr>
          <w:b w:val="0"/>
          <w:bCs w:val="0"/>
          <w:sz w:val="12"/>
          <w:szCs w:val="12"/>
        </w:rPr>
        <w:t>Narodowa</w:t>
      </w:r>
      <w:proofErr w:type="spellEnd"/>
    </w:p>
    <w:p w14:paraId="78E42673" w14:textId="77777777" w:rsidR="00845B18" w:rsidRDefault="00000000">
      <w:pPr>
        <w:pStyle w:val="Zkladntext20"/>
        <w:framePr w:w="6965" w:h="1541" w:hRule="exact" w:wrap="none" w:vAnchor="page" w:hAnchor="page" w:x="433" w:y="9110"/>
        <w:shd w:val="clear" w:color="auto" w:fill="auto"/>
        <w:spacing w:after="0" w:line="290" w:lineRule="auto"/>
        <w:rPr>
          <w:sz w:val="18"/>
          <w:szCs w:val="18"/>
        </w:rPr>
      </w:pPr>
      <w:r>
        <w:rPr>
          <w:sz w:val="18"/>
          <w:szCs w:val="18"/>
        </w:rPr>
        <w:t xml:space="preserve">Polský trh je co do příjmu z prodeje knih asi dvakrát větší než český. Ročně vychází na počátku 21. století něco přes 20 000 knih (v roce 2011 to bylo 31 515, ale v roce 2013 už 34 147), přičemž počet vycházejících knih v poslední době mírně stoupá. Pozoruhodný je polský trh poměrem prvních a dalších vydání; tento poměr je </w:t>
      </w:r>
      <w:proofErr w:type="gramStart"/>
      <w:r>
        <w:rPr>
          <w:sz w:val="18"/>
          <w:szCs w:val="18"/>
        </w:rPr>
        <w:t>60 ;</w:t>
      </w:r>
      <w:proofErr w:type="gramEnd"/>
      <w:r>
        <w:rPr>
          <w:sz w:val="18"/>
          <w:szCs w:val="18"/>
        </w:rPr>
        <w:t xml:space="preserve"> 40 (u nás to je zhru</w:t>
      </w:r>
      <w:r>
        <w:rPr>
          <w:sz w:val="18"/>
          <w:szCs w:val="18"/>
        </w:rPr>
        <w:softHyphen/>
        <w:t>ba 85 : 15). Pokud jde o distribuční kanály, více než polovina knih se prodá v tradičních knihkupectvích, přes internet to bylo v poslední době něco málo přes deset procent.</w:t>
      </w:r>
    </w:p>
    <w:p w14:paraId="63A412F8" w14:textId="77777777" w:rsidR="00845B18" w:rsidRDefault="00000000">
      <w:pPr>
        <w:pStyle w:val="Poznmkapodarou0"/>
        <w:framePr w:w="6907" w:h="389" w:hRule="exact" w:wrap="none" w:vAnchor="page" w:hAnchor="page" w:x="491" w:y="10906"/>
        <w:shd w:val="clear" w:color="auto" w:fill="auto"/>
        <w:tabs>
          <w:tab w:val="left" w:pos="216"/>
        </w:tabs>
        <w:spacing w:line="271" w:lineRule="auto"/>
        <w:ind w:left="280" w:hanging="280"/>
        <w:jc w:val="left"/>
      </w:pPr>
      <w:r>
        <w:t>8)</w:t>
      </w:r>
      <w:r>
        <w:tab/>
        <w:t xml:space="preserve">Viz </w:t>
      </w:r>
      <w:proofErr w:type="spellStart"/>
      <w:r>
        <w:rPr>
          <w:smallCaps/>
        </w:rPr>
        <w:t>Szyszkowska</w:t>
      </w:r>
      <w:proofErr w:type="spellEnd"/>
      <w:r>
        <w:rPr>
          <w:smallCaps/>
        </w:rPr>
        <w:t>,</w:t>
      </w:r>
      <w:r>
        <w:t xml:space="preserve"> </w:t>
      </w:r>
      <w:proofErr w:type="spellStart"/>
      <w:r>
        <w:t>Kwelina</w:t>
      </w:r>
      <w:proofErr w:type="spellEnd"/>
      <w:r>
        <w:t xml:space="preserve"> Maria. </w:t>
      </w:r>
      <w:proofErr w:type="spellStart"/>
      <w:r>
        <w:rPr>
          <w:i/>
          <w:iCs/>
        </w:rPr>
        <w:t>Odmiany</w:t>
      </w:r>
      <w:proofErr w:type="spellEnd"/>
      <w:r>
        <w:rPr>
          <w:i/>
          <w:iCs/>
        </w:rPr>
        <w:t xml:space="preserve"> </w:t>
      </w:r>
      <w:proofErr w:type="spellStart"/>
      <w:r>
        <w:rPr>
          <w:i/>
          <w:iCs/>
        </w:rPr>
        <w:t>uczuč</w:t>
      </w:r>
      <w:proofErr w:type="spellEnd"/>
      <w:r>
        <w:rPr>
          <w:i/>
          <w:iCs/>
        </w:rPr>
        <w:t xml:space="preserve">. </w:t>
      </w:r>
      <w:proofErr w:type="spellStart"/>
      <w:r>
        <w:rPr>
          <w:i/>
          <w:iCs/>
        </w:rPr>
        <w:t>Popularny</w:t>
      </w:r>
      <w:proofErr w:type="spellEnd"/>
      <w:r>
        <w:rPr>
          <w:i/>
          <w:iCs/>
        </w:rPr>
        <w:t xml:space="preserve"> </w:t>
      </w:r>
      <w:r>
        <w:rPr>
          <w:i/>
          <w:iCs/>
          <w:lang w:val="fr-FR" w:eastAsia="fr-FR" w:bidi="fr-FR"/>
        </w:rPr>
        <w:t xml:space="preserve">romans </w:t>
      </w:r>
      <w:proofErr w:type="spellStart"/>
      <w:r>
        <w:rPr>
          <w:i/>
          <w:iCs/>
        </w:rPr>
        <w:t>kieszonkowy</w:t>
      </w:r>
      <w:proofErr w:type="spellEnd"/>
      <w:r>
        <w:rPr>
          <w:i/>
          <w:iCs/>
        </w:rPr>
        <w:t xml:space="preserve"> w </w:t>
      </w:r>
      <w:proofErr w:type="spellStart"/>
      <w:r>
        <w:rPr>
          <w:i/>
          <w:iCs/>
        </w:rPr>
        <w:t>Polsce</w:t>
      </w:r>
      <w:proofErr w:type="spellEnd"/>
      <w:r>
        <w:rPr>
          <w:i/>
          <w:iCs/>
        </w:rPr>
        <w:t xml:space="preserve"> 1990-2000, </w:t>
      </w:r>
      <w:proofErr w:type="spellStart"/>
      <w:r>
        <w:t>Warszawa</w:t>
      </w:r>
      <w:proofErr w:type="spellEnd"/>
      <w:r>
        <w:t xml:space="preserve">: Bibliotéka </w:t>
      </w:r>
      <w:proofErr w:type="spellStart"/>
      <w:r>
        <w:t>Narodowa</w:t>
      </w:r>
      <w:proofErr w:type="spellEnd"/>
      <w:r>
        <w:t>, 2003, zejm. s. 31.</w:t>
      </w:r>
    </w:p>
    <w:p w14:paraId="2878A46A" w14:textId="77777777" w:rsidR="00845B18" w:rsidRDefault="00000000">
      <w:pPr>
        <w:pStyle w:val="Poznmkapodarou0"/>
        <w:framePr w:w="6907" w:h="398" w:hRule="exact" w:wrap="none" w:vAnchor="page" w:hAnchor="page" w:x="491" w:y="11314"/>
        <w:shd w:val="clear" w:color="auto" w:fill="auto"/>
        <w:tabs>
          <w:tab w:val="left" w:pos="216"/>
        </w:tabs>
        <w:spacing w:line="271" w:lineRule="auto"/>
        <w:jc w:val="left"/>
      </w:pPr>
      <w:r>
        <w:t>9)</w:t>
      </w:r>
      <w:r>
        <w:tab/>
        <w:t>Čtenář aspoň jedna (deklarovaná) přečtená kniha za rok, kupující = aspoň jedna (deklarovaná) zakou</w:t>
      </w:r>
      <w:r>
        <w:softHyphen/>
        <w:t>pená kniha za rok.</w:t>
      </w:r>
    </w:p>
    <w:p w14:paraId="374834B3" w14:textId="77777777" w:rsidR="00845B18" w:rsidRDefault="00000000">
      <w:pPr>
        <w:spacing w:line="14" w:lineRule="exact"/>
        <w:sectPr w:rsidR="00845B18">
          <w:pgSz w:w="8400" w:h="11900"/>
          <w:pgMar w:top="360" w:right="360" w:bottom="360" w:left="360" w:header="0" w:footer="3" w:gutter="0"/>
          <w:cols w:space="720"/>
          <w:noEndnote/>
          <w:docGrid w:linePitch="360"/>
        </w:sectPr>
      </w:pPr>
      <w:r>
        <w:rPr>
          <w:rFonts w:ascii="Times New Roman" w:eastAsia="Times New Roman" w:hAnsi="Times New Roman" w:cs="Times New Roman"/>
          <w:noProof/>
          <w:sz w:val="15"/>
          <w:szCs w:val="15"/>
        </w:rPr>
        <w:drawing>
          <wp:anchor distT="0" distB="0" distL="0" distR="0" simplePos="0" relativeHeight="251664384" behindDoc="1" locked="0" layoutInCell="1" allowOverlap="1" wp14:anchorId="7EF458A7" wp14:editId="7EF9F3ED">
            <wp:simplePos x="0" y="0"/>
            <wp:positionH relativeFrom="page">
              <wp:posOffset>612775</wp:posOffset>
            </wp:positionH>
            <wp:positionV relativeFrom="page">
              <wp:posOffset>4046855</wp:posOffset>
            </wp:positionV>
            <wp:extent cx="2974975" cy="1444625"/>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8"/>
                    <a:stretch/>
                  </pic:blipFill>
                  <pic:spPr>
                    <a:xfrm>
                      <a:off x="0" y="0"/>
                      <a:ext cx="2974975" cy="1444625"/>
                    </a:xfrm>
                    <a:prstGeom prst="rect">
                      <a:avLst/>
                    </a:prstGeom>
                  </pic:spPr>
                </pic:pic>
              </a:graphicData>
            </a:graphic>
          </wp:anchor>
        </w:drawing>
      </w:r>
    </w:p>
    <w:p w14:paraId="681A87B9" w14:textId="77777777" w:rsidR="00845B18" w:rsidRDefault="00000000">
      <w:pPr>
        <w:spacing w:line="14" w:lineRule="exact"/>
      </w:pPr>
      <w:r>
        <w:rPr>
          <w:noProof/>
        </w:rPr>
        <w:lastRenderedPageBreak/>
        <mc:AlternateContent>
          <mc:Choice Requires="wps">
            <w:drawing>
              <wp:anchor distT="0" distB="0" distL="114300" distR="114300" simplePos="0" relativeHeight="251652096" behindDoc="1" locked="0" layoutInCell="1" allowOverlap="1" wp14:anchorId="560FD5A4" wp14:editId="3883C8E0">
                <wp:simplePos x="0" y="0"/>
                <wp:positionH relativeFrom="page">
                  <wp:posOffset>667385</wp:posOffset>
                </wp:positionH>
                <wp:positionV relativeFrom="page">
                  <wp:posOffset>395605</wp:posOffset>
                </wp:positionV>
                <wp:extent cx="4377055" cy="0"/>
                <wp:effectExtent l="0" t="0" r="0" b="0"/>
                <wp:wrapNone/>
                <wp:docPr id="15" name="Shape 15"/>
                <wp:cNvGraphicFramePr/>
                <a:graphic xmlns:a="http://schemas.openxmlformats.org/drawingml/2006/main">
                  <a:graphicData uri="http://schemas.microsoft.com/office/word/2010/wordprocessingShape">
                    <wps:wsp>
                      <wps:cNvCnPr/>
                      <wps:spPr>
                        <a:xfrm>
                          <a:off x="0" y="0"/>
                          <a:ext cx="4377055" cy="0"/>
                        </a:xfrm>
                        <a:prstGeom prst="straightConnector1">
                          <a:avLst/>
                        </a:prstGeom>
                        <a:ln w="8890">
                          <a:solidFill/>
                        </a:ln>
                      </wps:spPr>
                      <wps:bodyPr/>
                    </wps:wsp>
                  </a:graphicData>
                </a:graphic>
              </wp:anchor>
            </w:drawing>
          </mc:Choice>
          <mc:Fallback>
            <w:pict>
              <v:shape o:spt="32" o:oned="1" path="m,l21600,21600e" style="position:absolute;margin-left:52.549999999999997pt;margin-top:31.149999999999999pt;width:344.64999999999998pt;height:0;z-index:-251658240;mso-position-horizontal-relative:page;mso-position-vertical-relative:page">
                <v:stroke weight="0.69999999999999996pt"/>
              </v:shape>
            </w:pict>
          </mc:Fallback>
        </mc:AlternateContent>
      </w:r>
    </w:p>
    <w:p w14:paraId="5CD5B619" w14:textId="77777777" w:rsidR="00845B18" w:rsidRDefault="00000000">
      <w:pPr>
        <w:pStyle w:val="Zhlavnebozpat0"/>
        <w:framePr w:wrap="none" w:vAnchor="page" w:hAnchor="page" w:x="4345" w:y="278"/>
        <w:shd w:val="clear" w:color="auto" w:fill="auto"/>
        <w:rPr>
          <w:sz w:val="17"/>
          <w:szCs w:val="17"/>
        </w:rPr>
      </w:pPr>
      <w:r>
        <w:rPr>
          <w:sz w:val="17"/>
          <w:szCs w:val="17"/>
        </w:rPr>
        <w:t>I 22|</w:t>
      </w:r>
    </w:p>
    <w:p w14:paraId="0DB7BA85" w14:textId="77777777" w:rsidR="00845B18" w:rsidRDefault="00000000">
      <w:pPr>
        <w:pStyle w:val="Zkladntext20"/>
        <w:framePr w:w="6984" w:h="3658" w:hRule="exact" w:wrap="none" w:vAnchor="page" w:hAnchor="page" w:x="995" w:y="792"/>
        <w:shd w:val="clear" w:color="auto" w:fill="auto"/>
        <w:spacing w:after="140" w:line="290" w:lineRule="auto"/>
        <w:rPr>
          <w:sz w:val="18"/>
          <w:szCs w:val="18"/>
        </w:rPr>
      </w:pPr>
      <w:r>
        <w:rPr>
          <w:sz w:val="18"/>
          <w:szCs w:val="18"/>
        </w:rPr>
        <w:t>Ke specifikům tamní situace patří, že se poměrně velké procento knih prodává v novi</w:t>
      </w:r>
      <w:r>
        <w:rPr>
          <w:sz w:val="18"/>
          <w:szCs w:val="18"/>
        </w:rPr>
        <w:softHyphen/>
        <w:t xml:space="preserve">nových Stáncích </w:t>
      </w:r>
      <w:r>
        <w:rPr>
          <w:i/>
          <w:iCs/>
          <w:sz w:val="18"/>
          <w:szCs w:val="18"/>
        </w:rPr>
        <w:t>(kiosk),</w:t>
      </w:r>
      <w:r>
        <w:rPr>
          <w:sz w:val="18"/>
          <w:szCs w:val="18"/>
        </w:rPr>
        <w:t xml:space="preserve"> jakkoli i tento kanál postupně slábne. Průměrný náklad knih je téměř 5 000 výtisků, ale trvale se každým rokem snižuje. Podíl překladů na produkci je kolem 30 procent (26 procent v roce 2011). V roce 2011 působilo v Polsku více než 20 000 nakladatelství, z nichž však aktivních (aspoň jedna vydaná kniha za rok) je kolem deseti procent. V poslední době je — v souladu s trendy jinde — výrazně na vzestupu prodej e-knih a audioknih. Probíhá i velmi pozvolná vlastnická a kapitálová koncentrace.</w:t>
      </w:r>
    </w:p>
    <w:p w14:paraId="5C7B4732" w14:textId="77777777" w:rsidR="00845B18" w:rsidRDefault="00000000">
      <w:pPr>
        <w:pStyle w:val="Zkladntext20"/>
        <w:framePr w:w="6984" w:h="3658" w:hRule="exact" w:wrap="none" w:vAnchor="page" w:hAnchor="page" w:x="995" w:y="792"/>
        <w:shd w:val="clear" w:color="auto" w:fill="auto"/>
        <w:spacing w:after="0" w:line="288" w:lineRule="auto"/>
        <w:rPr>
          <w:sz w:val="18"/>
          <w:szCs w:val="18"/>
        </w:rPr>
      </w:pPr>
      <w:r>
        <w:rPr>
          <w:sz w:val="18"/>
          <w:szCs w:val="18"/>
        </w:rPr>
        <w:t xml:space="preserve">Z toho, co se čte a kupuje nejvíce, lze usoudit, že vlna globálního bestselleru se velmi rychle přelévá i do Polska (D. </w:t>
      </w:r>
      <w:r>
        <w:rPr>
          <w:sz w:val="18"/>
          <w:szCs w:val="18"/>
          <w:lang w:val="fr-FR" w:eastAsia="fr-FR" w:bidi="fr-FR"/>
        </w:rPr>
        <w:t xml:space="preserve">Brown, </w:t>
      </w:r>
      <w:r>
        <w:rPr>
          <w:sz w:val="18"/>
          <w:szCs w:val="18"/>
        </w:rPr>
        <w:t xml:space="preserve">S. </w:t>
      </w:r>
      <w:proofErr w:type="spellStart"/>
      <w:r>
        <w:rPr>
          <w:sz w:val="18"/>
          <w:szCs w:val="18"/>
        </w:rPr>
        <w:t>Meyer</w:t>
      </w:r>
      <w:proofErr w:type="spellEnd"/>
      <w:r>
        <w:rPr>
          <w:sz w:val="18"/>
          <w:szCs w:val="18"/>
        </w:rPr>
        <w:t>/</w:t>
      </w:r>
      <w:proofErr w:type="spellStart"/>
      <w:r>
        <w:rPr>
          <w:sz w:val="18"/>
          <w:szCs w:val="18"/>
        </w:rPr>
        <w:t>ová</w:t>
      </w:r>
      <w:proofErr w:type="spellEnd"/>
      <w:r>
        <w:rPr>
          <w:sz w:val="18"/>
          <w:szCs w:val="18"/>
        </w:rPr>
        <w:t xml:space="preserve">/, P. Coelho ad.), nicméně pevné místo </w:t>
      </w:r>
      <w:r>
        <w:rPr>
          <w:sz w:val="18"/>
          <w:szCs w:val="18"/>
          <w:lang w:val="fr-FR" w:eastAsia="fr-FR" w:bidi="fr-FR"/>
        </w:rPr>
        <w:t xml:space="preserve">si </w:t>
      </w:r>
      <w:r>
        <w:rPr>
          <w:sz w:val="18"/>
          <w:szCs w:val="18"/>
        </w:rPr>
        <w:t xml:space="preserve">stále udržuje domácí klasika (A. </w:t>
      </w:r>
      <w:proofErr w:type="spellStart"/>
      <w:r>
        <w:rPr>
          <w:sz w:val="18"/>
          <w:szCs w:val="18"/>
        </w:rPr>
        <w:t>Mickiewicz</w:t>
      </w:r>
      <w:proofErr w:type="spellEnd"/>
      <w:r>
        <w:rPr>
          <w:sz w:val="18"/>
          <w:szCs w:val="18"/>
        </w:rPr>
        <w:t xml:space="preserve">, H. </w:t>
      </w:r>
      <w:proofErr w:type="spellStart"/>
      <w:r>
        <w:rPr>
          <w:sz w:val="18"/>
          <w:szCs w:val="18"/>
        </w:rPr>
        <w:t>Sienkiewicz</w:t>
      </w:r>
      <w:proofErr w:type="spellEnd"/>
      <w:r>
        <w:rPr>
          <w:sz w:val="18"/>
          <w:szCs w:val="18"/>
        </w:rPr>
        <w:t xml:space="preserve"> ad.). Vztah Polá</w:t>
      </w:r>
      <w:r>
        <w:rPr>
          <w:sz w:val="18"/>
          <w:szCs w:val="18"/>
        </w:rPr>
        <w:softHyphen/>
        <w:t>ků k jejich literárnímu kánonu, který byl vždycky silný, však v poslední době povážlivě slábne. Velmi výraznou oblastí čtenářského a kupního zájmu, zejména žen, jsou roman</w:t>
      </w:r>
      <w:r>
        <w:rPr>
          <w:sz w:val="18"/>
          <w:szCs w:val="18"/>
        </w:rPr>
        <w:softHyphen/>
        <w:t xml:space="preserve">ce (tzv. </w:t>
      </w:r>
      <w:proofErr w:type="spellStart"/>
      <w:r>
        <w:rPr>
          <w:i/>
          <w:iCs/>
          <w:sz w:val="18"/>
          <w:szCs w:val="18"/>
        </w:rPr>
        <w:t>guilty</w:t>
      </w:r>
      <w:proofErr w:type="spellEnd"/>
      <w:r>
        <w:rPr>
          <w:i/>
          <w:iCs/>
          <w:sz w:val="18"/>
          <w:szCs w:val="18"/>
        </w:rPr>
        <w:t xml:space="preserve"> </w:t>
      </w:r>
      <w:proofErr w:type="spellStart"/>
      <w:r>
        <w:rPr>
          <w:i/>
          <w:iCs/>
          <w:sz w:val="18"/>
          <w:szCs w:val="18"/>
        </w:rPr>
        <w:t>pleasure</w:t>
      </w:r>
      <w:proofErr w:type="spellEnd"/>
      <w:r>
        <w:rPr>
          <w:i/>
          <w:iCs/>
          <w:sz w:val="18"/>
          <w:szCs w:val="18"/>
        </w:rPr>
        <w:t>).</w:t>
      </w:r>
      <w:r>
        <w:rPr>
          <w:sz w:val="18"/>
          <w:szCs w:val="18"/>
        </w:rPr>
        <w:t xml:space="preserve"> Velké pozornosti se těší domácí autorky tohoto žánru (K. </w:t>
      </w:r>
      <w:proofErr w:type="spellStart"/>
      <w:proofErr w:type="gramStart"/>
      <w:r>
        <w:rPr>
          <w:sz w:val="18"/>
          <w:szCs w:val="18"/>
        </w:rPr>
        <w:t>Gro</w:t>
      </w:r>
      <w:proofErr w:type="spellEnd"/>
      <w:r>
        <w:rPr>
          <w:sz w:val="18"/>
          <w:szCs w:val="18"/>
        </w:rPr>
        <w:t xml:space="preserve">- </w:t>
      </w:r>
      <w:proofErr w:type="spellStart"/>
      <w:r>
        <w:rPr>
          <w:sz w:val="18"/>
          <w:szCs w:val="18"/>
        </w:rPr>
        <w:t>chol</w:t>
      </w:r>
      <w:proofErr w:type="spellEnd"/>
      <w:proofErr w:type="gramEnd"/>
      <w:r>
        <w:rPr>
          <w:sz w:val="18"/>
          <w:szCs w:val="18"/>
        </w:rPr>
        <w:t>/</w:t>
      </w:r>
      <w:proofErr w:type="spellStart"/>
      <w:r>
        <w:rPr>
          <w:sz w:val="18"/>
          <w:szCs w:val="18"/>
        </w:rPr>
        <w:t>ová</w:t>
      </w:r>
      <w:proofErr w:type="spellEnd"/>
      <w:r>
        <w:rPr>
          <w:sz w:val="18"/>
          <w:szCs w:val="18"/>
        </w:rPr>
        <w:t xml:space="preserve">/, M. </w:t>
      </w:r>
      <w:proofErr w:type="spellStart"/>
      <w:r>
        <w:rPr>
          <w:sz w:val="18"/>
          <w:szCs w:val="18"/>
        </w:rPr>
        <w:t>Kaliciňská</w:t>
      </w:r>
      <w:proofErr w:type="spellEnd"/>
      <w:r>
        <w:rPr>
          <w:sz w:val="18"/>
          <w:szCs w:val="18"/>
        </w:rPr>
        <w:t>).</w:t>
      </w:r>
    </w:p>
    <w:p w14:paraId="006742ED" w14:textId="77777777" w:rsidR="00845B18" w:rsidRDefault="00000000">
      <w:pPr>
        <w:pStyle w:val="Zkladntext70"/>
        <w:framePr w:w="6984" w:h="3725" w:hRule="exact" w:wrap="none" w:vAnchor="page" w:hAnchor="page" w:x="995" w:y="4733"/>
        <w:shd w:val="clear" w:color="auto" w:fill="auto"/>
        <w:tabs>
          <w:tab w:val="left" w:pos="4635"/>
        </w:tabs>
        <w:rPr>
          <w:sz w:val="24"/>
          <w:szCs w:val="24"/>
        </w:rPr>
      </w:pPr>
      <w:r>
        <w:rPr>
          <w:rFonts w:ascii="Times New Roman" w:eastAsia="Times New Roman" w:hAnsi="Times New Roman" w:cs="Times New Roman"/>
          <w:b w:val="0"/>
          <w:bCs w:val="0"/>
          <w:sz w:val="24"/>
          <w:szCs w:val="24"/>
        </w:rPr>
        <w:t xml:space="preserve">■B </w:t>
      </w:r>
      <w:r>
        <w:t>RAKOUSKO</w:t>
      </w:r>
      <w:r>
        <w:tab/>
      </w:r>
      <w:r>
        <w:rPr>
          <w:rFonts w:ascii="Times New Roman" w:eastAsia="Times New Roman" w:hAnsi="Times New Roman" w:cs="Times New Roman"/>
          <w:b w:val="0"/>
          <w:bCs w:val="0"/>
          <w:sz w:val="24"/>
          <w:szCs w:val="24"/>
        </w:rPr>
        <w:t>BBB</w:t>
      </w:r>
    </w:p>
    <w:p w14:paraId="147F37F2" w14:textId="77777777" w:rsidR="00845B18" w:rsidRDefault="00000000">
      <w:pPr>
        <w:pStyle w:val="Zkladntext20"/>
        <w:framePr w:w="6984" w:h="3725" w:hRule="exact" w:wrap="none" w:vAnchor="page" w:hAnchor="page" w:x="995" w:y="4733"/>
        <w:shd w:val="clear" w:color="auto" w:fill="auto"/>
        <w:spacing w:after="0" w:line="290" w:lineRule="auto"/>
        <w:rPr>
          <w:sz w:val="18"/>
          <w:szCs w:val="18"/>
        </w:rPr>
      </w:pPr>
      <w:r>
        <w:rPr>
          <w:sz w:val="18"/>
          <w:szCs w:val="18"/>
        </w:rPr>
        <w:t>Roční obrat činí asi 790 milionů eur (</w:t>
      </w:r>
      <w:proofErr w:type="gramStart"/>
      <w:r>
        <w:rPr>
          <w:sz w:val="18"/>
          <w:szCs w:val="18"/>
        </w:rPr>
        <w:t>2011 )</w:t>
      </w:r>
      <w:proofErr w:type="gramEnd"/>
      <w:r>
        <w:rPr>
          <w:sz w:val="18"/>
          <w:szCs w:val="18"/>
        </w:rPr>
        <w:t>, čímž je tento trh o něco více než dvakrát vět</w:t>
      </w:r>
      <w:r>
        <w:rPr>
          <w:sz w:val="18"/>
          <w:szCs w:val="18"/>
        </w:rPr>
        <w:softHyphen/>
        <w:t>ší než trh český. Počet vydaných titulů se v poslední době pohybuje mezi sedmi a osmi tisíci ročně (8 132 v roce 2011), přičemž toto množství v poslední době roste. Charak</w:t>
      </w:r>
      <w:r>
        <w:rPr>
          <w:sz w:val="18"/>
          <w:szCs w:val="18"/>
        </w:rPr>
        <w:softHyphen/>
        <w:t>teristickou vlastností rakouského trhu je jeho blízkost k trhu německému, což výrazně ovlivňuje nakladatelskou i prodejní politiku. Rakousko je součástí německojazyčného trhu zahrnujícího sto milionů obyvatel. Samozřejmé je pronikání titulů vydaných v Ně</w:t>
      </w:r>
      <w:r>
        <w:rPr>
          <w:sz w:val="18"/>
          <w:szCs w:val="18"/>
        </w:rPr>
        <w:softHyphen/>
        <w:t xml:space="preserve">mecku, stejně jako přechod rakouských spisovatelů pod křídla bohatších německých oficín. Týká se to i místních nakladatelství, z nichž několik bylo prodáno německým vlastníkům — například Paul </w:t>
      </w:r>
      <w:proofErr w:type="spellStart"/>
      <w:r>
        <w:rPr>
          <w:sz w:val="18"/>
          <w:szCs w:val="18"/>
        </w:rPr>
        <w:t>Zsolnay</w:t>
      </w:r>
      <w:proofErr w:type="spellEnd"/>
      <w:r>
        <w:rPr>
          <w:sz w:val="18"/>
          <w:szCs w:val="18"/>
        </w:rPr>
        <w:t xml:space="preserve"> (1996). Struktura trhu je v poslední době poměr</w:t>
      </w:r>
      <w:r>
        <w:rPr>
          <w:sz w:val="18"/>
          <w:szCs w:val="18"/>
        </w:rPr>
        <w:softHyphen/>
        <w:t xml:space="preserve">ně stabilní. Zatímco beletrie </w:t>
      </w:r>
      <w:r>
        <w:rPr>
          <w:sz w:val="18"/>
          <w:szCs w:val="18"/>
          <w:lang w:val="fr-FR" w:eastAsia="fr-FR" w:bidi="fr-FR"/>
        </w:rPr>
        <w:t xml:space="preserve">si </w:t>
      </w:r>
      <w:r>
        <w:rPr>
          <w:sz w:val="18"/>
          <w:szCs w:val="18"/>
        </w:rPr>
        <w:t>drží své postavení, u věcné a odborné literatury sledujeme jistý pokles. V Rakousku je zhruba 1 400 nakladatelství, z nich téměř polovina sídlí ve Vídni. K zvláštnostem místní situace patří, že největší rakouské nakladatelství (</w:t>
      </w:r>
      <w:proofErr w:type="spellStart"/>
      <w:proofErr w:type="gramStart"/>
      <w:r>
        <w:rPr>
          <w:sz w:val="18"/>
          <w:szCs w:val="18"/>
        </w:rPr>
        <w:t>Oster</w:t>
      </w:r>
      <w:proofErr w:type="spellEnd"/>
      <w:r>
        <w:rPr>
          <w:sz w:val="18"/>
          <w:szCs w:val="18"/>
        </w:rPr>
        <w:t xml:space="preserve">- </w:t>
      </w:r>
      <w:proofErr w:type="spellStart"/>
      <w:r>
        <w:rPr>
          <w:sz w:val="18"/>
          <w:szCs w:val="18"/>
        </w:rPr>
        <w:t>reichische</w:t>
      </w:r>
      <w:proofErr w:type="spellEnd"/>
      <w:proofErr w:type="gramEnd"/>
      <w:r>
        <w:rPr>
          <w:sz w:val="18"/>
          <w:szCs w:val="18"/>
        </w:rPr>
        <w:t xml:space="preserve"> </w:t>
      </w:r>
      <w:proofErr w:type="spellStart"/>
      <w:r>
        <w:rPr>
          <w:sz w:val="18"/>
          <w:szCs w:val="18"/>
        </w:rPr>
        <w:t>Bundesverlag</w:t>
      </w:r>
      <w:proofErr w:type="spellEnd"/>
      <w:r>
        <w:rPr>
          <w:sz w:val="18"/>
          <w:szCs w:val="18"/>
        </w:rPr>
        <w:t>) je ve státních rukou.</w:t>
      </w:r>
    </w:p>
    <w:p w14:paraId="6F91FB15" w14:textId="77777777" w:rsidR="00845B18" w:rsidRDefault="00000000">
      <w:pPr>
        <w:pStyle w:val="Zkladntext70"/>
        <w:framePr w:w="6984" w:h="2885" w:hRule="exact" w:wrap="none" w:vAnchor="page" w:hAnchor="page" w:x="995" w:y="8827"/>
        <w:shd w:val="clear" w:color="auto" w:fill="auto"/>
        <w:spacing w:after="180"/>
        <w:ind w:left="0"/>
        <w:jc w:val="center"/>
      </w:pPr>
      <w:r>
        <w:t>SLOVENSKO</w:t>
      </w:r>
    </w:p>
    <w:p w14:paraId="4E5A375D" w14:textId="77777777" w:rsidR="00845B18" w:rsidRDefault="00000000">
      <w:pPr>
        <w:pStyle w:val="Zkladntext20"/>
        <w:framePr w:w="6984" w:h="2885" w:hRule="exact" w:wrap="none" w:vAnchor="page" w:hAnchor="page" w:x="995" w:y="8827"/>
        <w:shd w:val="clear" w:color="auto" w:fill="auto"/>
        <w:spacing w:after="0" w:line="290" w:lineRule="auto"/>
        <w:rPr>
          <w:sz w:val="18"/>
          <w:szCs w:val="18"/>
        </w:rPr>
      </w:pPr>
      <w:r>
        <w:rPr>
          <w:sz w:val="18"/>
          <w:szCs w:val="18"/>
        </w:rPr>
        <w:t>Ještě před dvaadvaceti lety bylo Slovensko součástí společného trhu československého. Po roce 1989 byl tento trh nucen projít stejnými transformačními procesy a namnoze i velmi podobnými problémy jako trh český (pokles kvality překladu, nadprodukce, odliv zájmu o domácí beletrii, vysoký rabat pro prodejce a distributory, špatná pla</w:t>
      </w:r>
      <w:r>
        <w:rPr>
          <w:sz w:val="18"/>
          <w:szCs w:val="18"/>
        </w:rPr>
        <w:softHyphen/>
        <w:t>tební morálka). Mezi českým a slovenským trhem panuje značná asymetrie: počet českých knih proudících na Slovensko je mnohonásobně vyšší než obráceně — české knihy tvoří na Slovensku až třicet procent všech prodávaných titulů, zejména ve vel</w:t>
      </w:r>
      <w:r>
        <w:rPr>
          <w:sz w:val="18"/>
          <w:szCs w:val="18"/>
        </w:rPr>
        <w:softHyphen/>
        <w:t xml:space="preserve">kých městech. Odhaduje se, že roční obral byl v posledních letech kolem sto milionů eur, což je asi třikrát méně, než kolik vykazoval trh český; počet vydavatelů byl I 657 (v roce 2012). V poslední době vychází ročně mezi sedmi až deseti tisíci titulů </w:t>
      </w:r>
      <w:proofErr w:type="gramStart"/>
      <w:r>
        <w:rPr>
          <w:sz w:val="18"/>
          <w:szCs w:val="18"/>
        </w:rPr>
        <w:t>( 10</w:t>
      </w:r>
      <w:proofErr w:type="gramEnd"/>
      <w:r>
        <w:rPr>
          <w:sz w:val="18"/>
          <w:szCs w:val="18"/>
        </w:rPr>
        <w:t xml:space="preserve"> 123</w:t>
      </w:r>
    </w:p>
    <w:p w14:paraId="760ADC00" w14:textId="77777777" w:rsidR="00845B18" w:rsidRDefault="00845B18">
      <w:pPr>
        <w:spacing w:line="14" w:lineRule="exact"/>
        <w:sectPr w:rsidR="00845B18">
          <w:pgSz w:w="8400" w:h="11900"/>
          <w:pgMar w:top="360" w:right="360" w:bottom="360" w:left="360" w:header="0" w:footer="3" w:gutter="0"/>
          <w:cols w:space="720"/>
          <w:noEndnote/>
          <w:docGrid w:linePitch="360"/>
        </w:sectPr>
      </w:pPr>
    </w:p>
    <w:p w14:paraId="19A6D773" w14:textId="77777777" w:rsidR="00845B18" w:rsidRDefault="00000000">
      <w:pPr>
        <w:spacing w:line="14" w:lineRule="exact"/>
      </w:pPr>
      <w:r>
        <w:rPr>
          <w:noProof/>
        </w:rPr>
        <w:lastRenderedPageBreak/>
        <mc:AlternateContent>
          <mc:Choice Requires="wps">
            <w:drawing>
              <wp:anchor distT="0" distB="0" distL="114300" distR="114300" simplePos="0" relativeHeight="251653120" behindDoc="1" locked="0" layoutInCell="1" allowOverlap="1" wp14:anchorId="32BDFA1D" wp14:editId="3D3101FA">
                <wp:simplePos x="0" y="0"/>
                <wp:positionH relativeFrom="page">
                  <wp:posOffset>347345</wp:posOffset>
                </wp:positionH>
                <wp:positionV relativeFrom="page">
                  <wp:posOffset>401955</wp:posOffset>
                </wp:positionV>
                <wp:extent cx="4334510" cy="0"/>
                <wp:effectExtent l="0" t="0" r="0" b="0"/>
                <wp:wrapNone/>
                <wp:docPr id="16" name="Shape 16"/>
                <wp:cNvGraphicFramePr/>
                <a:graphic xmlns:a="http://schemas.openxmlformats.org/drawingml/2006/main">
                  <a:graphicData uri="http://schemas.microsoft.com/office/word/2010/wordprocessingShape">
                    <wps:wsp>
                      <wps:cNvCnPr/>
                      <wps:spPr>
                        <a:xfrm>
                          <a:off x="0" y="0"/>
                          <a:ext cx="4334510" cy="0"/>
                        </a:xfrm>
                        <a:prstGeom prst="straightConnector1">
                          <a:avLst/>
                        </a:prstGeom>
                        <a:ln w="8890">
                          <a:solidFill/>
                        </a:ln>
                      </wps:spPr>
                      <wps:bodyPr/>
                    </wps:wsp>
                  </a:graphicData>
                </a:graphic>
              </wp:anchor>
            </w:drawing>
          </mc:Choice>
          <mc:Fallback>
            <w:pict>
              <v:shape o:spt="32" o:oned="1" path="m,l21600,21600e" style="position:absolute;margin-left:27.350000000000001pt;margin-top:31.649999999999999pt;width:341.30000000000001pt;height:0;z-index:-251658240;mso-position-horizontal-relative:page;mso-position-vertical-relative:page">
                <v:stroke weight="0.69999999999999996pt"/>
              </v:shape>
            </w:pict>
          </mc:Fallback>
        </mc:AlternateContent>
      </w:r>
    </w:p>
    <w:p w14:paraId="30A41C89" w14:textId="77777777" w:rsidR="00845B18" w:rsidRDefault="00000000">
      <w:pPr>
        <w:pStyle w:val="Zhlavnebozpat0"/>
        <w:framePr w:wrap="none" w:vAnchor="page" w:hAnchor="page" w:x="3750" w:y="298"/>
        <w:shd w:val="clear" w:color="auto" w:fill="auto"/>
        <w:rPr>
          <w:sz w:val="18"/>
          <w:szCs w:val="18"/>
        </w:rPr>
      </w:pPr>
      <w:r>
        <w:rPr>
          <w:sz w:val="18"/>
          <w:szCs w:val="18"/>
        </w:rPr>
        <w:t>|23)</w:t>
      </w:r>
    </w:p>
    <w:p w14:paraId="22E791BB" w14:textId="77777777" w:rsidR="00845B18" w:rsidRDefault="00000000">
      <w:pPr>
        <w:pStyle w:val="Zkladntext20"/>
        <w:framePr w:w="6965" w:h="4037" w:hRule="exact" w:wrap="none" w:vAnchor="page" w:hAnchor="page" w:x="433" w:y="806"/>
        <w:shd w:val="clear" w:color="auto" w:fill="auto"/>
        <w:spacing w:after="0" w:line="290" w:lineRule="auto"/>
        <w:rPr>
          <w:sz w:val="18"/>
          <w:szCs w:val="18"/>
        </w:rPr>
      </w:pPr>
      <w:r>
        <w:rPr>
          <w:sz w:val="18"/>
          <w:szCs w:val="18"/>
        </w:rPr>
        <w:t xml:space="preserve">v </w:t>
      </w:r>
      <w:r>
        <w:rPr>
          <w:sz w:val="18"/>
          <w:szCs w:val="18"/>
          <w:lang w:val="es-ES" w:eastAsia="es-ES" w:bidi="es-ES"/>
        </w:rPr>
        <w:t xml:space="preserve">roce </w:t>
      </w:r>
      <w:r>
        <w:rPr>
          <w:sz w:val="18"/>
          <w:szCs w:val="18"/>
        </w:rPr>
        <w:t xml:space="preserve">2012). </w:t>
      </w:r>
      <w:r>
        <w:rPr>
          <w:sz w:val="18"/>
          <w:szCs w:val="18"/>
          <w:vertAlign w:val="superscript"/>
        </w:rPr>
        <w:t>10 11</w:t>
      </w:r>
      <w:r>
        <w:rPr>
          <w:sz w:val="18"/>
          <w:szCs w:val="18"/>
        </w:rPr>
        <w:t>&gt; Průměrný náklad knihy je asi 1 400 výtisků (na počátku 90. let to bylo 11 000). Spolehlivost údajů o počtu titulů, jejich nákladu, jakož i obratu je však velmi nízká, a to zejména kvůli jejich neúplnosti. Důvodem jsou i krachy distribučních fi</w:t>
      </w:r>
      <w:r>
        <w:rPr>
          <w:sz w:val="18"/>
          <w:szCs w:val="18"/>
        </w:rPr>
        <w:softHyphen/>
        <w:t>rem a prodejců, po nichž zůstávají ve skladech nedobytné knihy. Jiné knihy jsou sice prodané, ale nakladatelé za ně nedostávají dlouho zaplaceno, takže je těžké je regist</w:t>
      </w:r>
      <w:r>
        <w:rPr>
          <w:sz w:val="18"/>
          <w:szCs w:val="18"/>
        </w:rPr>
        <w:softHyphen/>
        <w:t>rovat — pouze vydané, nebo i prodané? Rozdílem oproti české situaci je o něco pro</w:t>
      </w:r>
      <w:r>
        <w:rPr>
          <w:sz w:val="18"/>
          <w:szCs w:val="18"/>
        </w:rPr>
        <w:softHyphen/>
        <w:t xml:space="preserve">pracovanější systém dotací a grantů a také to, že na trhu existuje jeden tzv. silný hráč. Jejím knihkupecká síť Panta </w:t>
      </w:r>
      <w:proofErr w:type="spellStart"/>
      <w:r>
        <w:rPr>
          <w:sz w:val="18"/>
          <w:szCs w:val="18"/>
        </w:rPr>
        <w:t>Rhei</w:t>
      </w:r>
      <w:proofErr w:type="spellEnd"/>
      <w:r>
        <w:rPr>
          <w:sz w:val="18"/>
          <w:szCs w:val="18"/>
        </w:rPr>
        <w:t xml:space="preserve"> (27 prodejen na konci roku 2013</w:t>
      </w:r>
      <w:proofErr w:type="gramStart"/>
      <w:r>
        <w:rPr>
          <w:sz w:val="18"/>
          <w:szCs w:val="18"/>
        </w:rPr>
        <w:t>).</w:t>
      </w:r>
      <w:r>
        <w:rPr>
          <w:sz w:val="18"/>
          <w:szCs w:val="18"/>
          <w:vertAlign w:val="superscript"/>
        </w:rPr>
        <w:t>u</w:t>
      </w:r>
      <w:proofErr w:type="gramEnd"/>
      <w:r>
        <w:rPr>
          <w:sz w:val="18"/>
          <w:szCs w:val="18"/>
        </w:rPr>
        <w:t>) V roce 2012 jí hrozil kvůli neproplácení faktur dodavatelům (vydavatelstvím) bankrot, ale vyhnula se mu tak, že uzavřela partnerství s finanční skupinou J &amp; T. Jedním z důvodů tohoto stavu, soudí experti, je pomalá reakce na nástup internetového obchodování, tj. zby</w:t>
      </w:r>
      <w:r>
        <w:rPr>
          <w:sz w:val="18"/>
          <w:szCs w:val="18"/>
        </w:rPr>
        <w:softHyphen/>
        <w:t>tečně velká prodejní plocha. — Na počátku 21. století se slovenský trh — po vcelku divokém období 90. let — stabilizoval; v letech 2003-2004 následoval jeho propad o třetinu. V dalších letech se jeho stav víceméně ustálil. Od počátku 21. století po</w:t>
      </w:r>
      <w:r>
        <w:rPr>
          <w:sz w:val="18"/>
          <w:szCs w:val="18"/>
        </w:rPr>
        <w:softHyphen/>
        <w:t xml:space="preserve">zvolna klesá počet těch, kdo </w:t>
      </w:r>
      <w:r>
        <w:rPr>
          <w:sz w:val="18"/>
          <w:szCs w:val="18"/>
          <w:lang w:val="fr-FR" w:eastAsia="fr-FR" w:bidi="fr-FR"/>
        </w:rPr>
        <w:t xml:space="preserve">si </w:t>
      </w:r>
      <w:r>
        <w:rPr>
          <w:sz w:val="18"/>
          <w:szCs w:val="18"/>
        </w:rPr>
        <w:t>za rok koupí aspoň jednu knihu — v posledních letech jich je kolem 40 procent.</w:t>
      </w:r>
    </w:p>
    <w:p w14:paraId="28CE843C" w14:textId="77777777" w:rsidR="00845B18" w:rsidRDefault="00000000">
      <w:pPr>
        <w:pStyle w:val="Zkladntext70"/>
        <w:framePr w:w="6965" w:h="5544" w:hRule="exact" w:wrap="none" w:vAnchor="page" w:hAnchor="page" w:x="433" w:y="5155"/>
        <w:shd w:val="clear" w:color="auto" w:fill="auto"/>
        <w:spacing w:after="200"/>
        <w:ind w:left="0"/>
        <w:jc w:val="center"/>
        <w:rPr>
          <w:sz w:val="13"/>
          <w:szCs w:val="13"/>
        </w:rPr>
      </w:pPr>
      <w:r>
        <w:rPr>
          <w:b w:val="0"/>
          <w:bCs w:val="0"/>
          <w:sz w:val="13"/>
          <w:szCs w:val="13"/>
        </w:rPr>
        <w:t>VYHLEDY DO BUDOUCNA</w:t>
      </w:r>
    </w:p>
    <w:p w14:paraId="15B3A859" w14:textId="77777777" w:rsidR="00845B18" w:rsidRDefault="00000000">
      <w:pPr>
        <w:pStyle w:val="Zkladntext20"/>
        <w:framePr w:w="6965" w:h="5544" w:hRule="exact" w:wrap="none" w:vAnchor="page" w:hAnchor="page" w:x="433" w:y="5155"/>
        <w:shd w:val="clear" w:color="auto" w:fill="auto"/>
        <w:spacing w:after="120" w:line="290" w:lineRule="auto"/>
        <w:rPr>
          <w:sz w:val="18"/>
          <w:szCs w:val="18"/>
        </w:rPr>
      </w:pPr>
      <w:r>
        <w:rPr>
          <w:sz w:val="18"/>
          <w:szCs w:val="18"/>
        </w:rPr>
        <w:t xml:space="preserve">Místo zobecňujících závěrů se pokusme — formou několika tezí — o krátký výhled na to, co by se mohlo s knižním trhem stát v ne úplné vzdálené budoucnosti. Vynasnažíme se vyhnout krajnostem, jak je vyznačuje Robert </w:t>
      </w:r>
      <w:proofErr w:type="spellStart"/>
      <w:r>
        <w:rPr>
          <w:sz w:val="18"/>
          <w:szCs w:val="18"/>
        </w:rPr>
        <w:t>Darnton</w:t>
      </w:r>
      <w:proofErr w:type="spellEnd"/>
      <w:r>
        <w:rPr>
          <w:sz w:val="18"/>
          <w:szCs w:val="18"/>
        </w:rPr>
        <w:t xml:space="preserve">: </w:t>
      </w:r>
      <w:r>
        <w:rPr>
          <w:sz w:val="18"/>
          <w:szCs w:val="18"/>
          <w:vertAlign w:val="superscript"/>
        </w:rPr>
        <w:t>l2</w:t>
      </w:r>
      <w:r>
        <w:rPr>
          <w:sz w:val="18"/>
          <w:szCs w:val="18"/>
        </w:rPr>
        <w:t>&gt; na jedné straně „utopickému entuziasmu“ pramenícímu z okouzlení novými technologiemi a na straně druhé „</w:t>
      </w:r>
      <w:proofErr w:type="gramStart"/>
      <w:r>
        <w:rPr>
          <w:sz w:val="18"/>
          <w:szCs w:val="18"/>
        </w:rPr>
        <w:t xml:space="preserve">jere- </w:t>
      </w:r>
      <w:proofErr w:type="spellStart"/>
      <w:r>
        <w:rPr>
          <w:sz w:val="18"/>
          <w:szCs w:val="18"/>
        </w:rPr>
        <w:t>miádé</w:t>
      </w:r>
      <w:proofErr w:type="spellEnd"/>
      <w:proofErr w:type="gramEnd"/>
      <w:r>
        <w:rPr>
          <w:sz w:val="18"/>
          <w:szCs w:val="18"/>
        </w:rPr>
        <w:t>“, za níž stojí přesvědčení, že jsme svědky úpadku, ztráty kulturnosti, a že se proto dostáváme do stále větší závislosti na technologiích, a tedy i na těch, kdo je ovládají. Lze zřejmě očekávat tyto procesy:</w:t>
      </w:r>
    </w:p>
    <w:p w14:paraId="284E1ACD" w14:textId="77777777" w:rsidR="00845B18" w:rsidRDefault="00000000">
      <w:pPr>
        <w:pStyle w:val="Zkladntext20"/>
        <w:framePr w:w="6965" w:h="5544" w:hRule="exact" w:wrap="none" w:vAnchor="page" w:hAnchor="page" w:x="433" w:y="5155"/>
        <w:numPr>
          <w:ilvl w:val="0"/>
          <w:numId w:val="1"/>
        </w:numPr>
        <w:shd w:val="clear" w:color="auto" w:fill="auto"/>
        <w:tabs>
          <w:tab w:val="left" w:pos="282"/>
        </w:tabs>
        <w:spacing w:after="120" w:line="295" w:lineRule="auto"/>
        <w:rPr>
          <w:sz w:val="18"/>
          <w:szCs w:val="18"/>
        </w:rPr>
      </w:pPr>
      <w:r>
        <w:rPr>
          <w:sz w:val="18"/>
          <w:szCs w:val="18"/>
        </w:rPr>
        <w:t>nárůst prodeje e-knih na úkor knih tištěných a postupné hledání rovnováhy mezi oběma těmito formami; dynamika nárůstu e-knih se však již znatelně zpomaluje</w:t>
      </w:r>
    </w:p>
    <w:p w14:paraId="5766F45A" w14:textId="77777777" w:rsidR="00845B18" w:rsidRDefault="00000000">
      <w:pPr>
        <w:pStyle w:val="Zkladntext20"/>
        <w:framePr w:w="6965" w:h="5544" w:hRule="exact" w:wrap="none" w:vAnchor="page" w:hAnchor="page" w:x="433" w:y="5155"/>
        <w:numPr>
          <w:ilvl w:val="0"/>
          <w:numId w:val="1"/>
        </w:numPr>
        <w:shd w:val="clear" w:color="auto" w:fill="auto"/>
        <w:tabs>
          <w:tab w:val="left" w:pos="282"/>
        </w:tabs>
        <w:spacing w:after="120" w:line="290" w:lineRule="auto"/>
        <w:rPr>
          <w:sz w:val="18"/>
          <w:szCs w:val="18"/>
        </w:rPr>
      </w:pPr>
      <w:r>
        <w:rPr>
          <w:sz w:val="18"/>
          <w:szCs w:val="18"/>
        </w:rPr>
        <w:t>převedení některých druhů knih téměř zcela do digitálního prostředí; týká se to ze</w:t>
      </w:r>
      <w:r>
        <w:rPr>
          <w:sz w:val="18"/>
          <w:szCs w:val="18"/>
        </w:rPr>
        <w:softHyphen/>
        <w:t>jména referenčních příruček a odborné literatury</w:t>
      </w:r>
    </w:p>
    <w:p w14:paraId="23B8FE48" w14:textId="77777777" w:rsidR="00845B18" w:rsidRDefault="00000000">
      <w:pPr>
        <w:pStyle w:val="Zkladntext20"/>
        <w:framePr w:w="6965" w:h="5544" w:hRule="exact" w:wrap="none" w:vAnchor="page" w:hAnchor="page" w:x="433" w:y="5155"/>
        <w:numPr>
          <w:ilvl w:val="0"/>
          <w:numId w:val="1"/>
        </w:numPr>
        <w:shd w:val="clear" w:color="auto" w:fill="auto"/>
        <w:tabs>
          <w:tab w:val="left" w:pos="282"/>
        </w:tabs>
        <w:spacing w:after="120" w:line="293" w:lineRule="auto"/>
        <w:rPr>
          <w:sz w:val="18"/>
          <w:szCs w:val="18"/>
        </w:rPr>
      </w:pPr>
      <w:r>
        <w:rPr>
          <w:sz w:val="18"/>
          <w:szCs w:val="18"/>
        </w:rPr>
        <w:t xml:space="preserve">postupné snižování počtu tradičních knihkupectví a přechod prodeje ve stále </w:t>
      </w:r>
      <w:proofErr w:type="spellStart"/>
      <w:r>
        <w:rPr>
          <w:sz w:val="18"/>
          <w:szCs w:val="18"/>
        </w:rPr>
        <w:t>vétší</w:t>
      </w:r>
      <w:proofErr w:type="spellEnd"/>
      <w:r>
        <w:rPr>
          <w:sz w:val="18"/>
          <w:szCs w:val="18"/>
        </w:rPr>
        <w:t xml:space="preserve"> míře do způsobu on-line; kamenné knihkupectví však jistě nezanikne, leč do značné míry změní své funkce</w:t>
      </w:r>
    </w:p>
    <w:p w14:paraId="0AFFE4FB" w14:textId="77777777" w:rsidR="00845B18" w:rsidRDefault="00000000">
      <w:pPr>
        <w:pStyle w:val="Zkladntext20"/>
        <w:framePr w:w="6965" w:h="5544" w:hRule="exact" w:wrap="none" w:vAnchor="page" w:hAnchor="page" w:x="433" w:y="5155"/>
        <w:numPr>
          <w:ilvl w:val="0"/>
          <w:numId w:val="1"/>
        </w:numPr>
        <w:shd w:val="clear" w:color="auto" w:fill="auto"/>
        <w:tabs>
          <w:tab w:val="left" w:pos="282"/>
        </w:tabs>
        <w:spacing w:after="120" w:line="290" w:lineRule="auto"/>
        <w:rPr>
          <w:sz w:val="18"/>
          <w:szCs w:val="18"/>
        </w:rPr>
      </w:pPr>
      <w:r>
        <w:rPr>
          <w:sz w:val="18"/>
          <w:szCs w:val="18"/>
        </w:rPr>
        <w:t>míra koncentrace bude nadále pokračovat: stále méně společností bude kontrolovat stále větší část trhu; otázkou je, kde se zastaví a jaké vyvolá protitlaky</w:t>
      </w:r>
    </w:p>
    <w:p w14:paraId="160015FA" w14:textId="77777777" w:rsidR="00845B18" w:rsidRDefault="00000000">
      <w:pPr>
        <w:pStyle w:val="Zkladntext20"/>
        <w:framePr w:w="6965" w:h="5544" w:hRule="exact" w:wrap="none" w:vAnchor="page" w:hAnchor="page" w:x="433" w:y="5155"/>
        <w:numPr>
          <w:ilvl w:val="0"/>
          <w:numId w:val="1"/>
        </w:numPr>
        <w:shd w:val="clear" w:color="auto" w:fill="auto"/>
        <w:tabs>
          <w:tab w:val="left" w:pos="282"/>
        </w:tabs>
        <w:spacing w:after="0" w:line="295" w:lineRule="auto"/>
        <w:rPr>
          <w:sz w:val="18"/>
          <w:szCs w:val="18"/>
        </w:rPr>
      </w:pPr>
      <w:r>
        <w:rPr>
          <w:sz w:val="18"/>
          <w:szCs w:val="18"/>
        </w:rPr>
        <w:t xml:space="preserve">posílení globalizace, tj. stále masivnější nárůst tzv. globálního bestselleru ve stále </w:t>
      </w:r>
      <w:proofErr w:type="spellStart"/>
      <w:r>
        <w:rPr>
          <w:sz w:val="18"/>
          <w:szCs w:val="18"/>
        </w:rPr>
        <w:t>vétší</w:t>
      </w:r>
      <w:proofErr w:type="spellEnd"/>
      <w:r>
        <w:rPr>
          <w:sz w:val="18"/>
          <w:szCs w:val="18"/>
        </w:rPr>
        <w:t xml:space="preserve"> části světa</w:t>
      </w:r>
    </w:p>
    <w:p w14:paraId="1C57D26B" w14:textId="77777777" w:rsidR="00845B18" w:rsidRDefault="00000000">
      <w:pPr>
        <w:pStyle w:val="Poznmkapodarou0"/>
        <w:framePr w:w="6341" w:h="206" w:hRule="exact" w:wrap="none" w:vAnchor="page" w:hAnchor="page" w:x="447" w:y="11098"/>
        <w:shd w:val="clear" w:color="auto" w:fill="auto"/>
        <w:tabs>
          <w:tab w:val="left" w:pos="269"/>
        </w:tabs>
        <w:spacing w:line="240" w:lineRule="auto"/>
        <w:ind w:left="0" w:firstLine="0"/>
      </w:pPr>
      <w:r>
        <w:t>10)</w:t>
      </w:r>
      <w:r>
        <w:tab/>
      </w:r>
      <w:hyperlink r:id="rId19" w:history="1">
        <w:r>
          <w:rPr>
            <w:lang w:val="en-US" w:eastAsia="en-US" w:bidi="en-US"/>
          </w:rPr>
          <w:t>http://www.culturc.gov.sk/vdoc/424/sumare-2012-215.html</w:t>
        </w:r>
      </w:hyperlink>
      <w:r>
        <w:rPr>
          <w:lang w:val="en-US" w:eastAsia="en-US" w:bidi="en-US"/>
        </w:rPr>
        <w:t xml:space="preserve"> </w:t>
      </w:r>
      <w:r>
        <w:t>[přístup 2013-12-07].</w:t>
      </w:r>
    </w:p>
    <w:p w14:paraId="703007FE" w14:textId="77777777" w:rsidR="00845B18" w:rsidRDefault="00000000">
      <w:pPr>
        <w:pStyle w:val="Poznmkapodarou0"/>
        <w:framePr w:w="6341" w:h="158" w:hRule="exact" w:wrap="none" w:vAnchor="page" w:hAnchor="page" w:x="447" w:y="11333"/>
        <w:shd w:val="clear" w:color="auto" w:fill="auto"/>
        <w:tabs>
          <w:tab w:val="left" w:pos="264"/>
        </w:tabs>
        <w:spacing w:line="240" w:lineRule="auto"/>
        <w:ind w:left="0" w:firstLine="0"/>
      </w:pPr>
      <w:r>
        <w:rPr>
          <w:lang w:val="fr-FR" w:eastAsia="fr-FR" w:bidi="fr-FR"/>
        </w:rPr>
        <w:t>11)</w:t>
      </w:r>
      <w:r>
        <w:rPr>
          <w:lang w:val="fr-FR" w:eastAsia="fr-FR" w:bidi="fr-FR"/>
        </w:rPr>
        <w:tab/>
      </w:r>
      <w:r>
        <w:t xml:space="preserve">V roce 2010 expandovala i na český </w:t>
      </w:r>
      <w:proofErr w:type="gramStart"/>
      <w:r>
        <w:t>trh:</w:t>
      </w:r>
      <w:proofErr w:type="gramEnd"/>
      <w:r>
        <w:t xml:space="preserve"> stala se polovičním vlastníkem prodejní sítě </w:t>
      </w:r>
      <w:proofErr w:type="spellStart"/>
      <w:r>
        <w:t>Neoluxor</w:t>
      </w:r>
      <w:proofErr w:type="spellEnd"/>
      <w:r>
        <w:t>.</w:t>
      </w:r>
    </w:p>
    <w:p w14:paraId="7DAF9328" w14:textId="77777777" w:rsidR="00845B18" w:rsidRDefault="00000000">
      <w:pPr>
        <w:pStyle w:val="Poznmkapodarou0"/>
        <w:framePr w:w="6341" w:h="187" w:hRule="exact" w:wrap="none" w:vAnchor="page" w:hAnchor="page" w:x="447" w:y="11525"/>
        <w:shd w:val="clear" w:color="auto" w:fill="auto"/>
        <w:tabs>
          <w:tab w:val="left" w:pos="269"/>
        </w:tabs>
        <w:spacing w:line="240" w:lineRule="auto"/>
        <w:ind w:left="0" w:firstLine="0"/>
      </w:pPr>
      <w:r>
        <w:t>12)</w:t>
      </w:r>
      <w:r>
        <w:tab/>
      </w:r>
      <w:proofErr w:type="spellStart"/>
      <w:r>
        <w:rPr>
          <w:smallCaps/>
        </w:rPr>
        <w:t>Darnton</w:t>
      </w:r>
      <w:proofErr w:type="spellEnd"/>
      <w:r>
        <w:rPr>
          <w:smallCaps/>
        </w:rPr>
        <w:t>,</w:t>
      </w:r>
      <w:r>
        <w:t xml:space="preserve"> </w:t>
      </w:r>
      <w:proofErr w:type="spellStart"/>
      <w:r>
        <w:t>Roherl</w:t>
      </w:r>
      <w:proofErr w:type="spellEnd"/>
      <w:r>
        <w:t xml:space="preserve">. </w:t>
      </w:r>
      <w:proofErr w:type="spellStart"/>
      <w:r>
        <w:rPr>
          <w:i/>
          <w:iCs/>
        </w:rPr>
        <w:t>Ihe</w:t>
      </w:r>
      <w:proofErr w:type="spellEnd"/>
      <w:r>
        <w:rPr>
          <w:i/>
          <w:iCs/>
        </w:rPr>
        <w:t xml:space="preserve"> (Jase </w:t>
      </w:r>
      <w:proofErr w:type="spellStart"/>
      <w:r>
        <w:rPr>
          <w:i/>
          <w:iCs/>
        </w:rPr>
        <w:t>for</w:t>
      </w:r>
      <w:proofErr w:type="spellEnd"/>
      <w:r>
        <w:rPr>
          <w:i/>
          <w:iCs/>
        </w:rPr>
        <w:t xml:space="preserve"> </w:t>
      </w:r>
      <w:proofErr w:type="spellStart"/>
      <w:r>
        <w:rPr>
          <w:i/>
          <w:iCs/>
        </w:rPr>
        <w:t>fíooks</w:t>
      </w:r>
      <w:proofErr w:type="spellEnd"/>
      <w:r>
        <w:rPr>
          <w:i/>
          <w:iCs/>
        </w:rPr>
        <w:t>,</w:t>
      </w:r>
      <w:r>
        <w:t xml:space="preserve"> cit. dílo, s. 15.</w:t>
      </w:r>
    </w:p>
    <w:p w14:paraId="53AD5759" w14:textId="77777777" w:rsidR="00845B18" w:rsidRDefault="00845B18">
      <w:pPr>
        <w:spacing w:line="14" w:lineRule="exact"/>
        <w:sectPr w:rsidR="00845B18">
          <w:pgSz w:w="8400" w:h="11900"/>
          <w:pgMar w:top="360" w:right="360" w:bottom="360" w:left="360" w:header="0" w:footer="3" w:gutter="0"/>
          <w:cols w:space="720"/>
          <w:noEndnote/>
          <w:docGrid w:linePitch="360"/>
        </w:sectPr>
      </w:pPr>
    </w:p>
    <w:p w14:paraId="3BFCC7E0" w14:textId="77777777" w:rsidR="00845B18" w:rsidRDefault="00845B18">
      <w:pPr>
        <w:spacing w:line="14" w:lineRule="exact"/>
      </w:pPr>
    </w:p>
    <w:p w14:paraId="6B8CAE58" w14:textId="77777777" w:rsidR="00845B18" w:rsidRDefault="00000000">
      <w:pPr>
        <w:pStyle w:val="Zhlavnebozpat0"/>
        <w:framePr w:wrap="none" w:vAnchor="page" w:hAnchor="page" w:x="4340" w:y="139"/>
        <w:shd w:val="clear" w:color="auto" w:fill="auto"/>
        <w:rPr>
          <w:sz w:val="17"/>
          <w:szCs w:val="17"/>
        </w:rPr>
      </w:pPr>
      <w:r>
        <w:rPr>
          <w:sz w:val="17"/>
          <w:szCs w:val="17"/>
        </w:rPr>
        <w:t>|</w:t>
      </w:r>
      <w:proofErr w:type="gramStart"/>
      <w:r>
        <w:rPr>
          <w:sz w:val="17"/>
          <w:szCs w:val="17"/>
        </w:rPr>
        <w:t>24l</w:t>
      </w:r>
      <w:proofErr w:type="gramEnd"/>
    </w:p>
    <w:p w14:paraId="0F095B3C" w14:textId="77777777" w:rsidR="00845B18" w:rsidRDefault="00000000">
      <w:pPr>
        <w:pStyle w:val="Zkladntext20"/>
        <w:framePr w:w="6965" w:h="5659" w:hRule="exact" w:wrap="none" w:vAnchor="page" w:hAnchor="page" w:x="1004" w:y="629"/>
        <w:numPr>
          <w:ilvl w:val="0"/>
          <w:numId w:val="1"/>
        </w:numPr>
        <w:shd w:val="clear" w:color="auto" w:fill="auto"/>
        <w:tabs>
          <w:tab w:val="left" w:pos="290"/>
        </w:tabs>
        <w:spacing w:after="120" w:line="293" w:lineRule="auto"/>
        <w:rPr>
          <w:sz w:val="18"/>
          <w:szCs w:val="18"/>
        </w:rPr>
      </w:pPr>
      <w:r>
        <w:rPr>
          <w:sz w:val="18"/>
          <w:szCs w:val="18"/>
        </w:rPr>
        <w:t>předchozí jev asi bude vyvolávat protitahy: posilování alternativních okruhů prodeje a vůbec čtenářské kultury (</w:t>
      </w:r>
      <w:proofErr w:type="spellStart"/>
      <w:r>
        <w:rPr>
          <w:sz w:val="18"/>
          <w:szCs w:val="18"/>
        </w:rPr>
        <w:t>suhkultury</w:t>
      </w:r>
      <w:proofErr w:type="spellEnd"/>
      <w:r>
        <w:rPr>
          <w:sz w:val="18"/>
          <w:szCs w:val="18"/>
        </w:rPr>
        <w:t xml:space="preserve"> a čtenářská ghetta); dá se očekávat silnější prosa</w:t>
      </w:r>
      <w:r>
        <w:rPr>
          <w:sz w:val="18"/>
          <w:szCs w:val="18"/>
        </w:rPr>
        <w:softHyphen/>
        <w:t xml:space="preserve">zování tzv. </w:t>
      </w:r>
      <w:proofErr w:type="spellStart"/>
      <w:r>
        <w:rPr>
          <w:i/>
          <w:iCs/>
          <w:sz w:val="18"/>
          <w:szCs w:val="18"/>
        </w:rPr>
        <w:t>glokalizace</w:t>
      </w:r>
      <w:proofErr w:type="spellEnd"/>
      <w:r>
        <w:rPr>
          <w:i/>
          <w:iCs/>
          <w:sz w:val="18"/>
          <w:szCs w:val="18"/>
        </w:rPr>
        <w:t>,</w:t>
      </w:r>
      <w:r>
        <w:rPr>
          <w:sz w:val="18"/>
          <w:szCs w:val="18"/>
        </w:rPr>
        <w:t xml:space="preserve"> tzn. adaptace globálních praktik na místní poměry</w:t>
      </w:r>
    </w:p>
    <w:p w14:paraId="74FDCA9C" w14:textId="77777777" w:rsidR="00845B18" w:rsidRDefault="00000000">
      <w:pPr>
        <w:pStyle w:val="Zkladntext20"/>
        <w:framePr w:w="6965" w:h="5659" w:hRule="exact" w:wrap="none" w:vAnchor="page" w:hAnchor="page" w:x="1004" w:y="629"/>
        <w:numPr>
          <w:ilvl w:val="0"/>
          <w:numId w:val="1"/>
        </w:numPr>
        <w:shd w:val="clear" w:color="auto" w:fill="auto"/>
        <w:tabs>
          <w:tab w:val="left" w:pos="290"/>
        </w:tabs>
        <w:spacing w:after="120" w:line="288" w:lineRule="auto"/>
        <w:rPr>
          <w:sz w:val="18"/>
          <w:szCs w:val="18"/>
        </w:rPr>
      </w:pPr>
      <w:r>
        <w:rPr>
          <w:sz w:val="18"/>
          <w:szCs w:val="18"/>
        </w:rPr>
        <w:t>další přehřívání trhu, tj. rovněž protikladná tendence ke globalizaci: snaha naklada</w:t>
      </w:r>
      <w:r>
        <w:rPr>
          <w:sz w:val="18"/>
          <w:szCs w:val="18"/>
        </w:rPr>
        <w:softHyphen/>
        <w:t>telů kompenzovat stále se snižující náklady knih vydáváním většího a většího množství titulů</w:t>
      </w:r>
    </w:p>
    <w:p w14:paraId="4752BD41" w14:textId="77777777" w:rsidR="00845B18" w:rsidRDefault="00000000">
      <w:pPr>
        <w:pStyle w:val="Zkladntext20"/>
        <w:framePr w:w="6965" w:h="5659" w:hRule="exact" w:wrap="none" w:vAnchor="page" w:hAnchor="page" w:x="1004" w:y="629"/>
        <w:numPr>
          <w:ilvl w:val="0"/>
          <w:numId w:val="1"/>
        </w:numPr>
        <w:shd w:val="clear" w:color="auto" w:fill="auto"/>
        <w:tabs>
          <w:tab w:val="left" w:pos="290"/>
        </w:tabs>
        <w:spacing w:after="120" w:line="290" w:lineRule="auto"/>
        <w:rPr>
          <w:sz w:val="18"/>
          <w:szCs w:val="18"/>
        </w:rPr>
      </w:pPr>
      <w:r>
        <w:rPr>
          <w:sz w:val="18"/>
          <w:szCs w:val="18"/>
        </w:rPr>
        <w:t xml:space="preserve">hledání účinné zbraně proti </w:t>
      </w:r>
      <w:proofErr w:type="spellStart"/>
      <w:r>
        <w:rPr>
          <w:sz w:val="18"/>
          <w:szCs w:val="18"/>
        </w:rPr>
        <w:t>copyrightověrnu</w:t>
      </w:r>
      <w:proofErr w:type="spellEnd"/>
      <w:r>
        <w:rPr>
          <w:sz w:val="18"/>
          <w:szCs w:val="18"/>
        </w:rPr>
        <w:t xml:space="preserve"> pirátství, a to mnoha prostředky: práv</w:t>
      </w:r>
      <w:r>
        <w:rPr>
          <w:sz w:val="18"/>
          <w:szCs w:val="18"/>
        </w:rPr>
        <w:softHyphen/>
        <w:t>ními (postihy), technickými (způsob zabezpečení), ekonomickými (snížení ceny), edu</w:t>
      </w:r>
      <w:r>
        <w:rPr>
          <w:sz w:val="18"/>
          <w:szCs w:val="18"/>
        </w:rPr>
        <w:softHyphen/>
        <w:t>kačními (výchova k respektu vůči duševnímu vlastnictví) a společensko-politickými (ve</w:t>
      </w:r>
      <w:r>
        <w:rPr>
          <w:sz w:val="18"/>
          <w:szCs w:val="18"/>
        </w:rPr>
        <w:softHyphen/>
        <w:t>řejné odmítání takovýchto praktik)</w:t>
      </w:r>
    </w:p>
    <w:p w14:paraId="4C3346BF" w14:textId="77777777" w:rsidR="00845B18" w:rsidRDefault="00000000">
      <w:pPr>
        <w:pStyle w:val="Zkladntext20"/>
        <w:framePr w:w="6965" w:h="5659" w:hRule="exact" w:wrap="none" w:vAnchor="page" w:hAnchor="page" w:x="1004" w:y="629"/>
        <w:numPr>
          <w:ilvl w:val="0"/>
          <w:numId w:val="1"/>
        </w:numPr>
        <w:shd w:val="clear" w:color="auto" w:fill="auto"/>
        <w:tabs>
          <w:tab w:val="left" w:pos="290"/>
        </w:tabs>
        <w:spacing w:after="120" w:line="283" w:lineRule="auto"/>
        <w:rPr>
          <w:sz w:val="18"/>
          <w:szCs w:val="18"/>
        </w:rPr>
      </w:pPr>
      <w:r>
        <w:rPr>
          <w:sz w:val="18"/>
          <w:szCs w:val="18"/>
        </w:rPr>
        <w:t>nárůst počtu knih vydávaných vlastním nákladem a hledání publikačních kanálů, které by daný způsob efektivně včlenily do knižního trhu</w:t>
      </w:r>
    </w:p>
    <w:p w14:paraId="662DE8F2" w14:textId="77777777" w:rsidR="00845B18" w:rsidRDefault="00000000">
      <w:pPr>
        <w:pStyle w:val="Zkladntext20"/>
        <w:framePr w:w="6965" w:h="5659" w:hRule="exact" w:wrap="none" w:vAnchor="page" w:hAnchor="page" w:x="1004" w:y="629"/>
        <w:numPr>
          <w:ilvl w:val="0"/>
          <w:numId w:val="1"/>
        </w:numPr>
        <w:shd w:val="clear" w:color="auto" w:fill="auto"/>
        <w:tabs>
          <w:tab w:val="left" w:pos="290"/>
        </w:tabs>
        <w:spacing w:after="120" w:line="290" w:lineRule="auto"/>
        <w:rPr>
          <w:sz w:val="18"/>
          <w:szCs w:val="18"/>
        </w:rPr>
      </w:pPr>
      <w:proofErr w:type="spellStart"/>
      <w:r>
        <w:rPr>
          <w:sz w:val="18"/>
          <w:szCs w:val="18"/>
        </w:rPr>
        <w:t>rozostřování</w:t>
      </w:r>
      <w:proofErr w:type="spellEnd"/>
      <w:r>
        <w:rPr>
          <w:sz w:val="18"/>
          <w:szCs w:val="18"/>
        </w:rPr>
        <w:t xml:space="preserve"> hranic knižního světa: bude stále méně patrné, co jsou speciální obcho</w:t>
      </w:r>
      <w:r>
        <w:rPr>
          <w:sz w:val="18"/>
          <w:szCs w:val="18"/>
        </w:rPr>
        <w:softHyphen/>
        <w:t>dy s knihami a tiskovinami a co jsou obchody se širokou nabídkou různých mediálních produktů; velká nakladatelství budou stále více řízena „univerzálními“ manažery, kteří budou v jejich chodu uplatňovat pravidla platná pro mediálně-zábavní průmysl, nikoli pravidla vydavatelská</w:t>
      </w:r>
    </w:p>
    <w:p w14:paraId="0A4E8AC5" w14:textId="77777777" w:rsidR="00845B18" w:rsidRDefault="00000000">
      <w:pPr>
        <w:pStyle w:val="Zkladntext20"/>
        <w:framePr w:w="6965" w:h="5659" w:hRule="exact" w:wrap="none" w:vAnchor="page" w:hAnchor="page" w:x="1004" w:y="629"/>
        <w:numPr>
          <w:ilvl w:val="0"/>
          <w:numId w:val="1"/>
        </w:numPr>
        <w:shd w:val="clear" w:color="auto" w:fill="auto"/>
        <w:tabs>
          <w:tab w:val="left" w:pos="290"/>
        </w:tabs>
        <w:spacing w:after="0" w:line="290" w:lineRule="auto"/>
        <w:rPr>
          <w:sz w:val="18"/>
          <w:szCs w:val="18"/>
        </w:rPr>
      </w:pPr>
      <w:r>
        <w:rPr>
          <w:sz w:val="18"/>
          <w:szCs w:val="18"/>
        </w:rPr>
        <w:t>lze možná očekávat i návrat k papíru, neboť o něm víme, jak se chová v čase, zatímco u digitálních nosičů to nevíme; navíc jsou tyto nosiče závislé nejen na spolehlivosti mé</w:t>
      </w:r>
      <w:r>
        <w:rPr>
          <w:sz w:val="18"/>
          <w:szCs w:val="18"/>
        </w:rPr>
        <w:softHyphen/>
        <w:t>dia, ale také na jeho softwarové obsluze, která velmi rychle zastarává</w:t>
      </w:r>
    </w:p>
    <w:p w14:paraId="022E6EE7" w14:textId="77777777" w:rsidR="00845B18" w:rsidRDefault="00000000">
      <w:pPr>
        <w:pStyle w:val="Zkladntext20"/>
        <w:framePr w:w="6965" w:h="1286" w:hRule="exact" w:wrap="none" w:vAnchor="page" w:hAnchor="page" w:x="1004" w:y="6696"/>
        <w:shd w:val="clear" w:color="auto" w:fill="auto"/>
        <w:spacing w:after="0" w:line="290" w:lineRule="auto"/>
        <w:jc w:val="left"/>
        <w:rPr>
          <w:sz w:val="18"/>
          <w:szCs w:val="18"/>
        </w:rPr>
      </w:pPr>
      <w:r>
        <w:rPr>
          <w:b/>
          <w:bCs/>
          <w:sz w:val="17"/>
          <w:szCs w:val="17"/>
        </w:rPr>
        <w:t xml:space="preserve">Shrnutí: </w:t>
      </w:r>
      <w:r>
        <w:rPr>
          <w:sz w:val="18"/>
          <w:szCs w:val="18"/>
        </w:rPr>
        <w:t>Světový knižní trh zasáhly procesy koncentrace a globalizace, které tak zcela příčinně nesouvisejí s digitální revolucí. Lze je totiž sledovat už od konce 70. let minulého století. Struktura světového trhu (počet vydaných výtisků a obrat) se od 60. let změnila jen nepodstatně — dominance Evropy a západního světa nadále přetrvává.</w:t>
      </w:r>
    </w:p>
    <w:p w14:paraId="4A614465" w14:textId="77777777" w:rsidR="00845B18" w:rsidRDefault="00845B18">
      <w:pPr>
        <w:spacing w:line="14" w:lineRule="exact"/>
        <w:sectPr w:rsidR="00845B18">
          <w:pgSz w:w="8400" w:h="11900"/>
          <w:pgMar w:top="360" w:right="360" w:bottom="360" w:left="360" w:header="0" w:footer="3" w:gutter="0"/>
          <w:cols w:space="720"/>
          <w:noEndnote/>
          <w:docGrid w:linePitch="360"/>
        </w:sectPr>
      </w:pPr>
    </w:p>
    <w:p w14:paraId="1089C48B" w14:textId="77777777" w:rsidR="00845B18" w:rsidRDefault="00000000">
      <w:pPr>
        <w:spacing w:line="14" w:lineRule="exact"/>
      </w:pPr>
      <w:r>
        <w:rPr>
          <w:noProof/>
        </w:rPr>
        <w:lastRenderedPageBreak/>
        <mc:AlternateContent>
          <mc:Choice Requires="wps">
            <w:drawing>
              <wp:anchor distT="0" distB="0" distL="114300" distR="114300" simplePos="0" relativeHeight="251654144" behindDoc="1" locked="0" layoutInCell="1" allowOverlap="1" wp14:anchorId="1C25ACB0" wp14:editId="6C5E9FBF">
                <wp:simplePos x="0" y="0"/>
                <wp:positionH relativeFrom="page">
                  <wp:posOffset>433070</wp:posOffset>
                </wp:positionH>
                <wp:positionV relativeFrom="page">
                  <wp:posOffset>225425</wp:posOffset>
                </wp:positionV>
                <wp:extent cx="4224020" cy="0"/>
                <wp:effectExtent l="0" t="0" r="0" b="0"/>
                <wp:wrapNone/>
                <wp:docPr id="17" name="Shape 17"/>
                <wp:cNvGraphicFramePr/>
                <a:graphic xmlns:a="http://schemas.openxmlformats.org/drawingml/2006/main">
                  <a:graphicData uri="http://schemas.microsoft.com/office/word/2010/wordprocessingShape">
                    <wps:wsp>
                      <wps:cNvCnPr/>
                      <wps:spPr>
                        <a:xfrm>
                          <a:off x="0" y="0"/>
                          <a:ext cx="4224020" cy="0"/>
                        </a:xfrm>
                        <a:prstGeom prst="straightConnector1">
                          <a:avLst/>
                        </a:prstGeom>
                        <a:ln w="8890">
                          <a:solidFill/>
                        </a:ln>
                      </wps:spPr>
                      <wps:bodyPr/>
                    </wps:wsp>
                  </a:graphicData>
                </a:graphic>
              </wp:anchor>
            </w:drawing>
          </mc:Choice>
          <mc:Fallback>
            <w:pict>
              <v:shape o:spt="32" o:oned="1" path="m,l21600,21600e" style="position:absolute;margin-left:34.100000000000001pt;margin-top:17.75pt;width:332.60000000000002pt;height:0;z-index:-251658240;mso-position-horizontal-relative:page;mso-position-vertical-relative:page">
                <v:stroke weight="0.69999999999999996pt"/>
              </v:shape>
            </w:pict>
          </mc:Fallback>
        </mc:AlternateContent>
      </w:r>
    </w:p>
    <w:p w14:paraId="1045B78E" w14:textId="77777777" w:rsidR="00845B18" w:rsidRDefault="00000000">
      <w:pPr>
        <w:pStyle w:val="Zhlavnebozpat0"/>
        <w:framePr w:wrap="none" w:vAnchor="page" w:hAnchor="page" w:x="3716" w:y="20"/>
        <w:shd w:val="clear" w:color="auto" w:fill="auto"/>
        <w:rPr>
          <w:sz w:val="17"/>
          <w:szCs w:val="17"/>
        </w:rPr>
      </w:pPr>
      <w:r>
        <w:rPr>
          <w:sz w:val="17"/>
          <w:szCs w:val="17"/>
        </w:rPr>
        <w:t>[25]</w:t>
      </w:r>
    </w:p>
    <w:p w14:paraId="5D9F78C2" w14:textId="77777777" w:rsidR="00845B18" w:rsidRDefault="00000000">
      <w:pPr>
        <w:pStyle w:val="Zkladntext20"/>
        <w:framePr w:w="6960" w:h="235" w:hRule="exact" w:wrap="none" w:vAnchor="page" w:hAnchor="page" w:x="409" w:y="533"/>
        <w:shd w:val="clear" w:color="auto" w:fill="auto"/>
        <w:spacing w:after="0" w:line="240" w:lineRule="auto"/>
        <w:jc w:val="center"/>
        <w:rPr>
          <w:sz w:val="17"/>
          <w:szCs w:val="17"/>
        </w:rPr>
      </w:pPr>
      <w:r>
        <w:rPr>
          <w:sz w:val="17"/>
          <w:szCs w:val="17"/>
        </w:rPr>
        <w:t>KAPITOLA 2</w:t>
      </w:r>
    </w:p>
    <w:p w14:paraId="49E890D4" w14:textId="77777777" w:rsidR="00845B18" w:rsidRDefault="00000000">
      <w:pPr>
        <w:pStyle w:val="Nadpis10"/>
        <w:framePr w:w="6960" w:h="442" w:hRule="exact" w:wrap="none" w:vAnchor="page" w:hAnchor="page" w:x="409" w:y="1215"/>
        <w:shd w:val="clear" w:color="auto" w:fill="auto"/>
        <w:spacing w:after="0" w:line="240" w:lineRule="auto"/>
        <w:rPr>
          <w:sz w:val="32"/>
          <w:szCs w:val="32"/>
        </w:rPr>
      </w:pPr>
      <w:bookmarkStart w:id="1" w:name="bookmark1"/>
      <w:r>
        <w:rPr>
          <w:rFonts w:ascii="Georgia" w:eastAsia="Georgia" w:hAnsi="Georgia" w:cs="Georgia"/>
          <w:sz w:val="32"/>
          <w:szCs w:val="32"/>
        </w:rPr>
        <w:t>Současný český knižní trh</w:t>
      </w:r>
      <w:bookmarkEnd w:id="1"/>
    </w:p>
    <w:p w14:paraId="7A08F37F" w14:textId="77777777" w:rsidR="00845B18" w:rsidRDefault="00000000">
      <w:pPr>
        <w:pStyle w:val="Zkladntext20"/>
        <w:framePr w:w="6960" w:h="1291" w:hRule="exact" w:wrap="none" w:vAnchor="page" w:hAnchor="page" w:x="409" w:y="4042"/>
        <w:shd w:val="clear" w:color="auto" w:fill="auto"/>
        <w:spacing w:after="0" w:line="290" w:lineRule="auto"/>
        <w:rPr>
          <w:sz w:val="18"/>
          <w:szCs w:val="18"/>
        </w:rPr>
      </w:pPr>
      <w:r>
        <w:rPr>
          <w:sz w:val="18"/>
          <w:szCs w:val="18"/>
        </w:rPr>
        <w:t xml:space="preserve">Některá srovnání s českou situací zazněla již v kapitole předchozí. Podívejme se však na současný stav českého trhu podrobněji. Budujeme </w:t>
      </w:r>
      <w:r>
        <w:rPr>
          <w:sz w:val="18"/>
          <w:szCs w:val="18"/>
          <w:lang w:val="fr-FR" w:eastAsia="fr-FR" w:bidi="fr-FR"/>
        </w:rPr>
        <w:t xml:space="preserve">si </w:t>
      </w:r>
      <w:r>
        <w:rPr>
          <w:sz w:val="18"/>
          <w:szCs w:val="18"/>
        </w:rPr>
        <w:t>tím také předpolí k hlavnímu tématu výzkumu, které najde svůj průchod ve třetí části knihy (kapitole 9 a 10). Zde ho nahlédneme optikou celkového přehledu, stejně jako optikou účastníků a znalců, ve třetí části to bude optika uživatelů.</w:t>
      </w:r>
    </w:p>
    <w:p w14:paraId="44725136" w14:textId="77777777" w:rsidR="00845B18" w:rsidRDefault="00000000">
      <w:pPr>
        <w:pStyle w:val="Zkladntext60"/>
        <w:framePr w:w="6960" w:h="2602" w:hRule="exact" w:wrap="none" w:vAnchor="page" w:hAnchor="page" w:x="409" w:y="5583"/>
        <w:shd w:val="clear" w:color="auto" w:fill="auto"/>
        <w:spacing w:after="120" w:line="307" w:lineRule="auto"/>
        <w:ind w:right="160"/>
        <w:rPr>
          <w:sz w:val="17"/>
          <w:szCs w:val="17"/>
        </w:rPr>
      </w:pPr>
      <w:r>
        <w:rPr>
          <w:sz w:val="17"/>
          <w:szCs w:val="17"/>
        </w:rPr>
        <w:t>ČTYŘI HLEDISKA</w:t>
      </w:r>
      <w:r>
        <w:rPr>
          <w:sz w:val="17"/>
          <w:szCs w:val="17"/>
          <w:vertAlign w:val="superscript"/>
        </w:rPr>
        <w:t>1</w:t>
      </w:r>
      <w:r>
        <w:rPr>
          <w:sz w:val="17"/>
          <w:szCs w:val="17"/>
        </w:rPr>
        <w:t>’ j</w:t>
      </w:r>
    </w:p>
    <w:p w14:paraId="70A26B0B" w14:textId="77777777" w:rsidR="00845B18" w:rsidRDefault="00000000">
      <w:pPr>
        <w:pStyle w:val="Zkladntext20"/>
        <w:framePr w:w="6960" w:h="2602" w:hRule="exact" w:wrap="none" w:vAnchor="page" w:hAnchor="page" w:x="409" w:y="5583"/>
        <w:numPr>
          <w:ilvl w:val="0"/>
          <w:numId w:val="2"/>
        </w:numPr>
        <w:shd w:val="clear" w:color="auto" w:fill="auto"/>
        <w:tabs>
          <w:tab w:val="left" w:pos="260"/>
        </w:tabs>
        <w:spacing w:after="120" w:line="290" w:lineRule="auto"/>
        <w:rPr>
          <w:sz w:val="18"/>
          <w:szCs w:val="18"/>
        </w:rPr>
      </w:pPr>
      <w:r>
        <w:rPr>
          <w:sz w:val="18"/>
          <w:szCs w:val="18"/>
        </w:rPr>
        <w:t xml:space="preserve">Z hlediska </w:t>
      </w:r>
      <w:r>
        <w:rPr>
          <w:i/>
          <w:iCs/>
          <w:sz w:val="18"/>
          <w:szCs w:val="18"/>
        </w:rPr>
        <w:t>posunu-,</w:t>
      </w:r>
      <w:r>
        <w:rPr>
          <w:sz w:val="18"/>
          <w:szCs w:val="18"/>
        </w:rPr>
        <w:t xml:space="preserve"> od konce 80. let prošel český knižní trh několika procesy, které z něj učinily organismus liberalizovaný a transformovaný, otevřený a dostatečně pružný, i když pořád ne zcela průhledný a ne se zcela rovnými podmínkami pro všechny. Došlo se k poznání, že ekonomický liberalismus (trh) nemůže být jediným organizačním prin</w:t>
      </w:r>
      <w:r>
        <w:rPr>
          <w:sz w:val="18"/>
          <w:szCs w:val="18"/>
        </w:rPr>
        <w:softHyphen/>
        <w:t xml:space="preserve">cipem v řetězci nakladatel — distributor — prodejce — čtenář. Jako stejně nebezpečné </w:t>
      </w:r>
      <w:r>
        <w:rPr>
          <w:sz w:val="15"/>
          <w:szCs w:val="15"/>
        </w:rPr>
        <w:t xml:space="preserve">se </w:t>
      </w:r>
      <w:r>
        <w:rPr>
          <w:sz w:val="18"/>
          <w:szCs w:val="18"/>
        </w:rPr>
        <w:t>však ukázalo i ponechat knihy zcela mimo dosah čtenářů a jejich zájmů, tedy pouze v autonomním (často i autistickém) světě grantů a dotací.</w:t>
      </w:r>
    </w:p>
    <w:p w14:paraId="21F16A74" w14:textId="77777777" w:rsidR="00845B18" w:rsidRDefault="00000000">
      <w:pPr>
        <w:pStyle w:val="Zkladntext20"/>
        <w:framePr w:w="6960" w:h="2602" w:hRule="exact" w:wrap="none" w:vAnchor="page" w:hAnchor="page" w:x="409" w:y="5583"/>
        <w:shd w:val="clear" w:color="auto" w:fill="auto"/>
        <w:spacing w:after="0" w:line="290" w:lineRule="auto"/>
        <w:rPr>
          <w:sz w:val="18"/>
          <w:szCs w:val="18"/>
        </w:rPr>
      </w:pPr>
      <w:proofErr w:type="gramStart"/>
      <w:r>
        <w:rPr>
          <w:sz w:val="18"/>
          <w:szCs w:val="18"/>
        </w:rPr>
        <w:t xml:space="preserve">( </w:t>
      </w:r>
      <w:proofErr w:type="spellStart"/>
      <w:r>
        <w:rPr>
          <w:sz w:val="18"/>
          <w:szCs w:val="18"/>
        </w:rPr>
        <w:t>Iplikou</w:t>
      </w:r>
      <w:proofErr w:type="spellEnd"/>
      <w:proofErr w:type="gramEnd"/>
      <w:r>
        <w:rPr>
          <w:sz w:val="18"/>
          <w:szCs w:val="18"/>
        </w:rPr>
        <w:t xml:space="preserve"> čísel vypadají posuny od 80. let do roku 2013 takto:</w:t>
      </w:r>
    </w:p>
    <w:p w14:paraId="458D9585" w14:textId="77777777" w:rsidR="00845B18" w:rsidRDefault="00000000">
      <w:pPr>
        <w:pStyle w:val="Titulektabulky0"/>
        <w:framePr w:wrap="none" w:vAnchor="page" w:hAnchor="page" w:x="2588" w:y="8381"/>
        <w:shd w:val="clear" w:color="auto" w:fill="auto"/>
        <w:spacing w:line="240" w:lineRule="auto"/>
        <w:ind w:left="0" w:firstLine="0"/>
        <w:rPr>
          <w:sz w:val="16"/>
          <w:szCs w:val="16"/>
        </w:rPr>
      </w:pPr>
      <w:r>
        <w:rPr>
          <w:rFonts w:ascii="Calibri" w:eastAsia="Calibri" w:hAnsi="Calibri" w:cs="Calibri"/>
          <w:sz w:val="16"/>
          <w:szCs w:val="16"/>
        </w:rPr>
        <w:t>Tab. 2.1 Český knižní trh 1985-2013</w:t>
      </w:r>
    </w:p>
    <w:tbl>
      <w:tblPr>
        <w:tblOverlap w:val="never"/>
        <w:tblW w:w="0" w:type="auto"/>
        <w:tblLayout w:type="fixed"/>
        <w:tblCellMar>
          <w:left w:w="10" w:type="dxa"/>
          <w:right w:w="10" w:type="dxa"/>
        </w:tblCellMar>
        <w:tblLook w:val="0000" w:firstRow="0" w:lastRow="0" w:firstColumn="0" w:lastColumn="0" w:noHBand="0" w:noVBand="0"/>
      </w:tblPr>
      <w:tblGrid>
        <w:gridCol w:w="2285"/>
        <w:gridCol w:w="658"/>
        <w:gridCol w:w="658"/>
        <w:gridCol w:w="653"/>
        <w:gridCol w:w="658"/>
        <w:gridCol w:w="658"/>
        <w:gridCol w:w="658"/>
        <w:gridCol w:w="610"/>
      </w:tblGrid>
      <w:tr w:rsidR="00845B18" w14:paraId="20CD3968" w14:textId="77777777">
        <w:tblPrEx>
          <w:tblCellMar>
            <w:top w:w="0" w:type="dxa"/>
            <w:bottom w:w="0" w:type="dxa"/>
          </w:tblCellMar>
        </w:tblPrEx>
        <w:trPr>
          <w:trHeight w:hRule="exact" w:val="226"/>
        </w:trPr>
        <w:tc>
          <w:tcPr>
            <w:tcW w:w="2285" w:type="dxa"/>
            <w:shd w:val="clear" w:color="auto" w:fill="FFFFFF"/>
          </w:tcPr>
          <w:p w14:paraId="63ADDDB1" w14:textId="77777777" w:rsidR="00845B18" w:rsidRDefault="00845B18">
            <w:pPr>
              <w:framePr w:w="6835" w:h="1334" w:wrap="none" w:vAnchor="page" w:hAnchor="page" w:x="462" w:y="8736"/>
              <w:rPr>
                <w:sz w:val="10"/>
                <w:szCs w:val="10"/>
              </w:rPr>
            </w:pPr>
          </w:p>
        </w:tc>
        <w:tc>
          <w:tcPr>
            <w:tcW w:w="658" w:type="dxa"/>
            <w:shd w:val="clear" w:color="auto" w:fill="FFFFFF"/>
            <w:vAlign w:val="bottom"/>
          </w:tcPr>
          <w:p w14:paraId="201EA8FE" w14:textId="77777777" w:rsidR="00845B18" w:rsidRDefault="00000000">
            <w:pPr>
              <w:pStyle w:val="Jin0"/>
              <w:framePr w:w="6835" w:h="1334" w:wrap="none" w:vAnchor="page" w:hAnchor="page" w:x="462" w:y="8736"/>
              <w:shd w:val="clear" w:color="auto" w:fill="auto"/>
              <w:spacing w:after="0" w:line="240" w:lineRule="auto"/>
              <w:jc w:val="center"/>
              <w:rPr>
                <w:sz w:val="14"/>
                <w:szCs w:val="14"/>
              </w:rPr>
            </w:pPr>
            <w:r>
              <w:rPr>
                <w:rFonts w:ascii="Arial" w:eastAsia="Arial" w:hAnsi="Arial" w:cs="Arial"/>
                <w:b/>
                <w:bCs/>
                <w:sz w:val="14"/>
                <w:szCs w:val="14"/>
              </w:rPr>
              <w:t>r. 1985</w:t>
            </w:r>
          </w:p>
        </w:tc>
        <w:tc>
          <w:tcPr>
            <w:tcW w:w="658" w:type="dxa"/>
            <w:shd w:val="clear" w:color="auto" w:fill="FFFFFF"/>
            <w:vAlign w:val="bottom"/>
          </w:tcPr>
          <w:p w14:paraId="5345DC02" w14:textId="77777777" w:rsidR="00845B18" w:rsidRDefault="00000000">
            <w:pPr>
              <w:pStyle w:val="Jin0"/>
              <w:framePr w:w="6835" w:h="1334" w:wrap="none" w:vAnchor="page" w:hAnchor="page" w:x="462" w:y="8736"/>
              <w:shd w:val="clear" w:color="auto" w:fill="auto"/>
              <w:spacing w:after="0" w:line="240" w:lineRule="auto"/>
              <w:jc w:val="center"/>
              <w:rPr>
                <w:sz w:val="14"/>
                <w:szCs w:val="14"/>
              </w:rPr>
            </w:pPr>
            <w:r>
              <w:rPr>
                <w:rFonts w:ascii="Arial" w:eastAsia="Arial" w:hAnsi="Arial" w:cs="Arial"/>
                <w:b/>
                <w:bCs/>
                <w:sz w:val="14"/>
                <w:szCs w:val="14"/>
              </w:rPr>
              <w:t>r. 1990</w:t>
            </w:r>
          </w:p>
        </w:tc>
        <w:tc>
          <w:tcPr>
            <w:tcW w:w="653" w:type="dxa"/>
            <w:shd w:val="clear" w:color="auto" w:fill="FFFFFF"/>
            <w:vAlign w:val="bottom"/>
          </w:tcPr>
          <w:p w14:paraId="3A161A5C" w14:textId="77777777" w:rsidR="00845B18" w:rsidRDefault="00000000">
            <w:pPr>
              <w:pStyle w:val="Jin0"/>
              <w:framePr w:w="6835" w:h="1334" w:wrap="none" w:vAnchor="page" w:hAnchor="page" w:x="462" w:y="8736"/>
              <w:shd w:val="clear" w:color="auto" w:fill="auto"/>
              <w:spacing w:after="0" w:line="240" w:lineRule="auto"/>
              <w:jc w:val="center"/>
              <w:rPr>
                <w:sz w:val="14"/>
                <w:szCs w:val="14"/>
              </w:rPr>
            </w:pPr>
            <w:r>
              <w:rPr>
                <w:rFonts w:ascii="Arial" w:eastAsia="Arial" w:hAnsi="Arial" w:cs="Arial"/>
                <w:b/>
                <w:bCs/>
                <w:sz w:val="14"/>
                <w:szCs w:val="14"/>
              </w:rPr>
              <w:t>r. 1995</w:t>
            </w:r>
          </w:p>
        </w:tc>
        <w:tc>
          <w:tcPr>
            <w:tcW w:w="658" w:type="dxa"/>
            <w:tcBorders>
              <w:left w:val="single" w:sz="4" w:space="0" w:color="auto"/>
            </w:tcBorders>
            <w:shd w:val="clear" w:color="auto" w:fill="FFFFFF"/>
            <w:vAlign w:val="bottom"/>
          </w:tcPr>
          <w:p w14:paraId="7CFE08E5" w14:textId="77777777" w:rsidR="00845B18" w:rsidRDefault="00000000">
            <w:pPr>
              <w:pStyle w:val="Jin0"/>
              <w:framePr w:w="6835" w:h="1334" w:wrap="none" w:vAnchor="page" w:hAnchor="page" w:x="462" w:y="8736"/>
              <w:shd w:val="clear" w:color="auto" w:fill="auto"/>
              <w:spacing w:after="0" w:line="240" w:lineRule="auto"/>
              <w:jc w:val="center"/>
              <w:rPr>
                <w:sz w:val="14"/>
                <w:szCs w:val="14"/>
              </w:rPr>
            </w:pPr>
            <w:r>
              <w:rPr>
                <w:rFonts w:ascii="Arial" w:eastAsia="Arial" w:hAnsi="Arial" w:cs="Arial"/>
                <w:b/>
                <w:bCs/>
                <w:sz w:val="14"/>
                <w:szCs w:val="14"/>
              </w:rPr>
              <w:t>r. 2000</w:t>
            </w:r>
          </w:p>
        </w:tc>
        <w:tc>
          <w:tcPr>
            <w:tcW w:w="658" w:type="dxa"/>
            <w:tcBorders>
              <w:left w:val="single" w:sz="4" w:space="0" w:color="auto"/>
            </w:tcBorders>
            <w:shd w:val="clear" w:color="auto" w:fill="FFFFFF"/>
            <w:vAlign w:val="bottom"/>
          </w:tcPr>
          <w:p w14:paraId="38A8325A" w14:textId="77777777" w:rsidR="00845B18" w:rsidRDefault="00000000">
            <w:pPr>
              <w:pStyle w:val="Jin0"/>
              <w:framePr w:w="6835" w:h="1334" w:wrap="none" w:vAnchor="page" w:hAnchor="page" w:x="462" w:y="8736"/>
              <w:shd w:val="clear" w:color="auto" w:fill="auto"/>
              <w:spacing w:after="0" w:line="240" w:lineRule="auto"/>
              <w:jc w:val="center"/>
              <w:rPr>
                <w:sz w:val="14"/>
                <w:szCs w:val="14"/>
              </w:rPr>
            </w:pPr>
            <w:r>
              <w:rPr>
                <w:rFonts w:ascii="Arial" w:eastAsia="Arial" w:hAnsi="Arial" w:cs="Arial"/>
                <w:b/>
                <w:bCs/>
                <w:sz w:val="14"/>
                <w:szCs w:val="14"/>
              </w:rPr>
              <w:t>r. 2005</w:t>
            </w:r>
          </w:p>
        </w:tc>
        <w:tc>
          <w:tcPr>
            <w:tcW w:w="658" w:type="dxa"/>
            <w:tcBorders>
              <w:left w:val="single" w:sz="4" w:space="0" w:color="auto"/>
            </w:tcBorders>
            <w:shd w:val="clear" w:color="auto" w:fill="FFFFFF"/>
            <w:vAlign w:val="bottom"/>
          </w:tcPr>
          <w:p w14:paraId="27A07599" w14:textId="77777777" w:rsidR="00845B18" w:rsidRDefault="00000000">
            <w:pPr>
              <w:pStyle w:val="Jin0"/>
              <w:framePr w:w="6835" w:h="1334" w:wrap="none" w:vAnchor="page" w:hAnchor="page" w:x="462" w:y="8736"/>
              <w:shd w:val="clear" w:color="auto" w:fill="auto"/>
              <w:spacing w:after="0" w:line="240" w:lineRule="auto"/>
              <w:jc w:val="center"/>
              <w:rPr>
                <w:sz w:val="14"/>
                <w:szCs w:val="14"/>
              </w:rPr>
            </w:pPr>
            <w:r>
              <w:rPr>
                <w:rFonts w:ascii="Arial" w:eastAsia="Arial" w:hAnsi="Arial" w:cs="Arial"/>
                <w:b/>
                <w:bCs/>
                <w:sz w:val="14"/>
                <w:szCs w:val="14"/>
              </w:rPr>
              <w:t>r. 2010</w:t>
            </w:r>
          </w:p>
        </w:tc>
        <w:tc>
          <w:tcPr>
            <w:tcW w:w="610" w:type="dxa"/>
            <w:tcBorders>
              <w:left w:val="single" w:sz="4" w:space="0" w:color="auto"/>
            </w:tcBorders>
            <w:shd w:val="clear" w:color="auto" w:fill="FFFFFF"/>
            <w:vAlign w:val="bottom"/>
          </w:tcPr>
          <w:p w14:paraId="51CC2C52" w14:textId="77777777" w:rsidR="00845B18" w:rsidRDefault="00000000">
            <w:pPr>
              <w:pStyle w:val="Jin0"/>
              <w:framePr w:w="6835" w:h="1334" w:wrap="none" w:vAnchor="page" w:hAnchor="page" w:x="462" w:y="8736"/>
              <w:shd w:val="clear" w:color="auto" w:fill="auto"/>
              <w:spacing w:after="0" w:line="240" w:lineRule="auto"/>
              <w:jc w:val="center"/>
              <w:rPr>
                <w:sz w:val="14"/>
                <w:szCs w:val="14"/>
              </w:rPr>
            </w:pPr>
            <w:r>
              <w:rPr>
                <w:rFonts w:ascii="Arial" w:eastAsia="Arial" w:hAnsi="Arial" w:cs="Arial"/>
                <w:b/>
                <w:bCs/>
                <w:sz w:val="14"/>
                <w:szCs w:val="14"/>
              </w:rPr>
              <w:t>r. 2013</w:t>
            </w:r>
          </w:p>
        </w:tc>
      </w:tr>
      <w:tr w:rsidR="00845B18" w14:paraId="4BD58EC8" w14:textId="77777777">
        <w:tblPrEx>
          <w:tblCellMar>
            <w:top w:w="0" w:type="dxa"/>
            <w:bottom w:w="0" w:type="dxa"/>
          </w:tblCellMar>
        </w:tblPrEx>
        <w:trPr>
          <w:trHeight w:hRule="exact" w:val="235"/>
        </w:trPr>
        <w:tc>
          <w:tcPr>
            <w:tcW w:w="2285" w:type="dxa"/>
            <w:shd w:val="clear" w:color="auto" w:fill="FFFFFF"/>
            <w:vAlign w:val="bottom"/>
          </w:tcPr>
          <w:p w14:paraId="7C2008AB" w14:textId="77777777" w:rsidR="00845B18" w:rsidRDefault="00000000">
            <w:pPr>
              <w:pStyle w:val="Jin0"/>
              <w:framePr w:w="6835" w:h="1334" w:wrap="none" w:vAnchor="page" w:hAnchor="page" w:x="462" w:y="8736"/>
              <w:shd w:val="clear" w:color="auto" w:fill="auto"/>
              <w:spacing w:after="0" w:line="240" w:lineRule="auto"/>
              <w:jc w:val="left"/>
              <w:rPr>
                <w:sz w:val="14"/>
                <w:szCs w:val="14"/>
              </w:rPr>
            </w:pPr>
            <w:r>
              <w:rPr>
                <w:rFonts w:ascii="Arial" w:eastAsia="Arial" w:hAnsi="Arial" w:cs="Arial"/>
                <w:b/>
                <w:bCs/>
                <w:sz w:val="14"/>
                <w:szCs w:val="14"/>
              </w:rPr>
              <w:t>tituly celkem</w:t>
            </w:r>
          </w:p>
        </w:tc>
        <w:tc>
          <w:tcPr>
            <w:tcW w:w="658" w:type="dxa"/>
            <w:tcBorders>
              <w:top w:val="single" w:sz="4" w:space="0" w:color="auto"/>
              <w:left w:val="single" w:sz="4" w:space="0" w:color="auto"/>
            </w:tcBorders>
            <w:shd w:val="clear" w:color="auto" w:fill="FFFFFF"/>
            <w:vAlign w:val="bottom"/>
          </w:tcPr>
          <w:p w14:paraId="73F989AB"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r>
              <w:rPr>
                <w:sz w:val="15"/>
                <w:szCs w:val="15"/>
              </w:rPr>
              <w:t>4 004</w:t>
            </w:r>
          </w:p>
        </w:tc>
        <w:tc>
          <w:tcPr>
            <w:tcW w:w="658" w:type="dxa"/>
            <w:tcBorders>
              <w:top w:val="single" w:sz="4" w:space="0" w:color="auto"/>
              <w:left w:val="single" w:sz="4" w:space="0" w:color="auto"/>
            </w:tcBorders>
            <w:shd w:val="clear" w:color="auto" w:fill="FFFFFF"/>
            <w:vAlign w:val="bottom"/>
          </w:tcPr>
          <w:p w14:paraId="47236792"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r>
              <w:rPr>
                <w:sz w:val="15"/>
                <w:szCs w:val="15"/>
              </w:rPr>
              <w:t>4136</w:t>
            </w:r>
          </w:p>
        </w:tc>
        <w:tc>
          <w:tcPr>
            <w:tcW w:w="653" w:type="dxa"/>
            <w:tcBorders>
              <w:top w:val="single" w:sz="4" w:space="0" w:color="auto"/>
              <w:left w:val="single" w:sz="4" w:space="0" w:color="auto"/>
            </w:tcBorders>
            <w:shd w:val="clear" w:color="auto" w:fill="FFFFFF"/>
            <w:vAlign w:val="bottom"/>
          </w:tcPr>
          <w:p w14:paraId="34492F05"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r>
              <w:rPr>
                <w:sz w:val="15"/>
                <w:szCs w:val="15"/>
              </w:rPr>
              <w:t>8 994</w:t>
            </w:r>
          </w:p>
        </w:tc>
        <w:tc>
          <w:tcPr>
            <w:tcW w:w="658" w:type="dxa"/>
            <w:tcBorders>
              <w:top w:val="single" w:sz="4" w:space="0" w:color="auto"/>
              <w:left w:val="single" w:sz="4" w:space="0" w:color="auto"/>
            </w:tcBorders>
            <w:shd w:val="clear" w:color="auto" w:fill="FFFFFF"/>
            <w:vAlign w:val="bottom"/>
          </w:tcPr>
          <w:p w14:paraId="769DAAA1"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r>
              <w:rPr>
                <w:sz w:val="15"/>
                <w:szCs w:val="15"/>
              </w:rPr>
              <w:t>11 965</w:t>
            </w:r>
          </w:p>
        </w:tc>
        <w:tc>
          <w:tcPr>
            <w:tcW w:w="658" w:type="dxa"/>
            <w:tcBorders>
              <w:top w:val="single" w:sz="4" w:space="0" w:color="auto"/>
              <w:left w:val="single" w:sz="4" w:space="0" w:color="auto"/>
            </w:tcBorders>
            <w:shd w:val="clear" w:color="auto" w:fill="FFFFFF"/>
            <w:vAlign w:val="bottom"/>
          </w:tcPr>
          <w:p w14:paraId="19A7DE33"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r>
              <w:rPr>
                <w:sz w:val="15"/>
                <w:szCs w:val="15"/>
              </w:rPr>
              <w:t>15 350</w:t>
            </w:r>
          </w:p>
        </w:tc>
        <w:tc>
          <w:tcPr>
            <w:tcW w:w="658" w:type="dxa"/>
            <w:tcBorders>
              <w:top w:val="single" w:sz="4" w:space="0" w:color="auto"/>
              <w:left w:val="single" w:sz="4" w:space="0" w:color="auto"/>
            </w:tcBorders>
            <w:shd w:val="clear" w:color="auto" w:fill="FFFFFF"/>
            <w:vAlign w:val="bottom"/>
          </w:tcPr>
          <w:p w14:paraId="5803F9CE"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r>
              <w:rPr>
                <w:sz w:val="15"/>
                <w:szCs w:val="15"/>
              </w:rPr>
              <w:t>17 054</w:t>
            </w:r>
          </w:p>
        </w:tc>
        <w:tc>
          <w:tcPr>
            <w:tcW w:w="610" w:type="dxa"/>
            <w:tcBorders>
              <w:top w:val="single" w:sz="4" w:space="0" w:color="auto"/>
              <w:left w:val="single" w:sz="4" w:space="0" w:color="auto"/>
            </w:tcBorders>
            <w:shd w:val="clear" w:color="auto" w:fill="FFFFFF"/>
            <w:vAlign w:val="bottom"/>
          </w:tcPr>
          <w:p w14:paraId="2B934547"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r>
              <w:rPr>
                <w:sz w:val="15"/>
                <w:szCs w:val="15"/>
              </w:rPr>
              <w:t>17 876</w:t>
            </w:r>
          </w:p>
        </w:tc>
      </w:tr>
      <w:tr w:rsidR="00845B18" w14:paraId="070F488B" w14:textId="77777777">
        <w:tblPrEx>
          <w:tblCellMar>
            <w:top w:w="0" w:type="dxa"/>
            <w:bottom w:w="0" w:type="dxa"/>
          </w:tblCellMar>
        </w:tblPrEx>
        <w:trPr>
          <w:trHeight w:hRule="exact" w:val="226"/>
        </w:trPr>
        <w:tc>
          <w:tcPr>
            <w:tcW w:w="2285" w:type="dxa"/>
            <w:shd w:val="clear" w:color="auto" w:fill="FFFFFF"/>
            <w:vAlign w:val="bottom"/>
          </w:tcPr>
          <w:p w14:paraId="5AD36E43" w14:textId="77777777" w:rsidR="00845B18" w:rsidRDefault="00000000">
            <w:pPr>
              <w:pStyle w:val="Jin0"/>
              <w:framePr w:w="6835" w:h="1334" w:wrap="none" w:vAnchor="page" w:hAnchor="page" w:x="462" w:y="8736"/>
              <w:shd w:val="clear" w:color="auto" w:fill="auto"/>
              <w:spacing w:after="0" w:line="240" w:lineRule="auto"/>
              <w:jc w:val="left"/>
              <w:rPr>
                <w:sz w:val="14"/>
                <w:szCs w:val="14"/>
              </w:rPr>
            </w:pPr>
            <w:r>
              <w:rPr>
                <w:rFonts w:ascii="Arial" w:eastAsia="Arial" w:hAnsi="Arial" w:cs="Arial"/>
                <w:b/>
                <w:bCs/>
                <w:sz w:val="14"/>
                <w:szCs w:val="14"/>
              </w:rPr>
              <w:t>/ toho beletrie</w:t>
            </w:r>
          </w:p>
        </w:tc>
        <w:tc>
          <w:tcPr>
            <w:tcW w:w="658" w:type="dxa"/>
            <w:tcBorders>
              <w:top w:val="single" w:sz="4" w:space="0" w:color="auto"/>
              <w:left w:val="single" w:sz="4" w:space="0" w:color="auto"/>
            </w:tcBorders>
            <w:shd w:val="clear" w:color="auto" w:fill="FFFFFF"/>
            <w:vAlign w:val="bottom"/>
          </w:tcPr>
          <w:p w14:paraId="7C39F7D9"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r>
              <w:rPr>
                <w:sz w:val="15"/>
                <w:szCs w:val="15"/>
              </w:rPr>
              <w:t>586</w:t>
            </w:r>
          </w:p>
        </w:tc>
        <w:tc>
          <w:tcPr>
            <w:tcW w:w="658" w:type="dxa"/>
            <w:tcBorders>
              <w:top w:val="single" w:sz="4" w:space="0" w:color="auto"/>
              <w:left w:val="single" w:sz="4" w:space="0" w:color="auto"/>
            </w:tcBorders>
            <w:shd w:val="clear" w:color="auto" w:fill="FFFFFF"/>
            <w:vAlign w:val="bottom"/>
          </w:tcPr>
          <w:p w14:paraId="56E6352B"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r>
              <w:rPr>
                <w:sz w:val="15"/>
                <w:szCs w:val="15"/>
              </w:rPr>
              <w:t>553</w:t>
            </w:r>
          </w:p>
        </w:tc>
        <w:tc>
          <w:tcPr>
            <w:tcW w:w="653" w:type="dxa"/>
            <w:tcBorders>
              <w:top w:val="single" w:sz="4" w:space="0" w:color="auto"/>
              <w:left w:val="single" w:sz="4" w:space="0" w:color="auto"/>
            </w:tcBorders>
            <w:shd w:val="clear" w:color="auto" w:fill="FFFFFF"/>
            <w:vAlign w:val="bottom"/>
          </w:tcPr>
          <w:p w14:paraId="58929DD8"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r>
              <w:rPr>
                <w:sz w:val="15"/>
                <w:szCs w:val="15"/>
              </w:rPr>
              <w:t>3214</w:t>
            </w:r>
          </w:p>
        </w:tc>
        <w:tc>
          <w:tcPr>
            <w:tcW w:w="658" w:type="dxa"/>
            <w:tcBorders>
              <w:top w:val="single" w:sz="4" w:space="0" w:color="auto"/>
              <w:left w:val="single" w:sz="4" w:space="0" w:color="auto"/>
            </w:tcBorders>
            <w:shd w:val="clear" w:color="auto" w:fill="FFFFFF"/>
            <w:vAlign w:val="bottom"/>
          </w:tcPr>
          <w:p w14:paraId="0BBE3E8A"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r>
              <w:rPr>
                <w:sz w:val="15"/>
                <w:szCs w:val="15"/>
              </w:rPr>
              <w:t>3 281</w:t>
            </w:r>
          </w:p>
        </w:tc>
        <w:tc>
          <w:tcPr>
            <w:tcW w:w="658" w:type="dxa"/>
            <w:tcBorders>
              <w:top w:val="single" w:sz="4" w:space="0" w:color="auto"/>
              <w:left w:val="single" w:sz="4" w:space="0" w:color="auto"/>
            </w:tcBorders>
            <w:shd w:val="clear" w:color="auto" w:fill="FFFFFF"/>
            <w:vAlign w:val="bottom"/>
          </w:tcPr>
          <w:p w14:paraId="1C71EA29"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r>
              <w:rPr>
                <w:sz w:val="15"/>
                <w:szCs w:val="15"/>
              </w:rPr>
              <w:t>3 340</w:t>
            </w:r>
          </w:p>
        </w:tc>
        <w:tc>
          <w:tcPr>
            <w:tcW w:w="658" w:type="dxa"/>
            <w:tcBorders>
              <w:top w:val="single" w:sz="4" w:space="0" w:color="auto"/>
              <w:left w:val="single" w:sz="4" w:space="0" w:color="auto"/>
            </w:tcBorders>
            <w:shd w:val="clear" w:color="auto" w:fill="FFFFFF"/>
            <w:vAlign w:val="bottom"/>
          </w:tcPr>
          <w:p w14:paraId="5930D8F2"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r>
              <w:rPr>
                <w:sz w:val="15"/>
                <w:szCs w:val="15"/>
              </w:rPr>
              <w:t>4 447</w:t>
            </w:r>
          </w:p>
        </w:tc>
        <w:tc>
          <w:tcPr>
            <w:tcW w:w="610" w:type="dxa"/>
            <w:tcBorders>
              <w:top w:val="single" w:sz="4" w:space="0" w:color="auto"/>
              <w:left w:val="single" w:sz="4" w:space="0" w:color="auto"/>
            </w:tcBorders>
            <w:shd w:val="clear" w:color="auto" w:fill="FFFFFF"/>
            <w:vAlign w:val="bottom"/>
          </w:tcPr>
          <w:p w14:paraId="41FFA2A4"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r>
              <w:rPr>
                <w:sz w:val="15"/>
                <w:szCs w:val="15"/>
              </w:rPr>
              <w:t>5 190</w:t>
            </w:r>
          </w:p>
        </w:tc>
      </w:tr>
      <w:tr w:rsidR="00845B18" w14:paraId="10BCD155" w14:textId="77777777">
        <w:tblPrEx>
          <w:tblCellMar>
            <w:top w:w="0" w:type="dxa"/>
            <w:bottom w:w="0" w:type="dxa"/>
          </w:tblCellMar>
        </w:tblPrEx>
        <w:trPr>
          <w:trHeight w:hRule="exact" w:val="226"/>
        </w:trPr>
        <w:tc>
          <w:tcPr>
            <w:tcW w:w="2285" w:type="dxa"/>
            <w:shd w:val="clear" w:color="auto" w:fill="FFFFFF"/>
            <w:vAlign w:val="bottom"/>
          </w:tcPr>
          <w:p w14:paraId="705EC39A" w14:textId="77777777" w:rsidR="00845B18" w:rsidRDefault="00000000">
            <w:pPr>
              <w:pStyle w:val="Jin0"/>
              <w:framePr w:w="6835" w:h="1334" w:wrap="none" w:vAnchor="page" w:hAnchor="page" w:x="462" w:y="8736"/>
              <w:shd w:val="clear" w:color="auto" w:fill="auto"/>
              <w:spacing w:after="0" w:line="240" w:lineRule="auto"/>
              <w:jc w:val="left"/>
              <w:rPr>
                <w:sz w:val="14"/>
                <w:szCs w:val="14"/>
              </w:rPr>
            </w:pPr>
            <w:r>
              <w:rPr>
                <w:rFonts w:ascii="Arial" w:eastAsia="Arial" w:hAnsi="Arial" w:cs="Arial"/>
                <w:b/>
                <w:bCs/>
                <w:sz w:val="14"/>
                <w:szCs w:val="14"/>
              </w:rPr>
              <w:t>pódii beletrie na celkovém počtu</w:t>
            </w:r>
          </w:p>
        </w:tc>
        <w:tc>
          <w:tcPr>
            <w:tcW w:w="658" w:type="dxa"/>
            <w:tcBorders>
              <w:top w:val="single" w:sz="4" w:space="0" w:color="auto"/>
              <w:left w:val="single" w:sz="4" w:space="0" w:color="auto"/>
            </w:tcBorders>
            <w:shd w:val="clear" w:color="auto" w:fill="FFFFFF"/>
            <w:vAlign w:val="bottom"/>
          </w:tcPr>
          <w:p w14:paraId="7E82D33E"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proofErr w:type="gramStart"/>
            <w:r>
              <w:rPr>
                <w:sz w:val="15"/>
                <w:szCs w:val="15"/>
              </w:rPr>
              <w:t>15%</w:t>
            </w:r>
            <w:proofErr w:type="gramEnd"/>
          </w:p>
        </w:tc>
        <w:tc>
          <w:tcPr>
            <w:tcW w:w="658" w:type="dxa"/>
            <w:tcBorders>
              <w:top w:val="single" w:sz="4" w:space="0" w:color="auto"/>
              <w:left w:val="single" w:sz="4" w:space="0" w:color="auto"/>
            </w:tcBorders>
            <w:shd w:val="clear" w:color="auto" w:fill="FFFFFF"/>
            <w:vAlign w:val="bottom"/>
          </w:tcPr>
          <w:p w14:paraId="7BEEEBBA"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proofErr w:type="gramStart"/>
            <w:r>
              <w:rPr>
                <w:sz w:val="15"/>
                <w:szCs w:val="15"/>
              </w:rPr>
              <w:t>13%</w:t>
            </w:r>
            <w:proofErr w:type="gramEnd"/>
          </w:p>
        </w:tc>
        <w:tc>
          <w:tcPr>
            <w:tcW w:w="653" w:type="dxa"/>
            <w:tcBorders>
              <w:top w:val="single" w:sz="4" w:space="0" w:color="auto"/>
              <w:left w:val="single" w:sz="4" w:space="0" w:color="auto"/>
            </w:tcBorders>
            <w:shd w:val="clear" w:color="auto" w:fill="FFFFFF"/>
            <w:vAlign w:val="bottom"/>
          </w:tcPr>
          <w:p w14:paraId="17D648AA"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proofErr w:type="gramStart"/>
            <w:r>
              <w:rPr>
                <w:sz w:val="15"/>
                <w:szCs w:val="15"/>
              </w:rPr>
              <w:t>36%</w:t>
            </w:r>
            <w:proofErr w:type="gramEnd"/>
          </w:p>
        </w:tc>
        <w:tc>
          <w:tcPr>
            <w:tcW w:w="658" w:type="dxa"/>
            <w:tcBorders>
              <w:top w:val="single" w:sz="4" w:space="0" w:color="auto"/>
              <w:left w:val="single" w:sz="4" w:space="0" w:color="auto"/>
            </w:tcBorders>
            <w:shd w:val="clear" w:color="auto" w:fill="FFFFFF"/>
            <w:vAlign w:val="bottom"/>
          </w:tcPr>
          <w:p w14:paraId="12AE729C"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proofErr w:type="gramStart"/>
            <w:r>
              <w:rPr>
                <w:sz w:val="15"/>
                <w:szCs w:val="15"/>
              </w:rPr>
              <w:t>27%</w:t>
            </w:r>
            <w:proofErr w:type="gramEnd"/>
          </w:p>
        </w:tc>
        <w:tc>
          <w:tcPr>
            <w:tcW w:w="658" w:type="dxa"/>
            <w:tcBorders>
              <w:top w:val="single" w:sz="4" w:space="0" w:color="auto"/>
              <w:left w:val="single" w:sz="4" w:space="0" w:color="auto"/>
            </w:tcBorders>
            <w:shd w:val="clear" w:color="auto" w:fill="FFFFFF"/>
            <w:vAlign w:val="bottom"/>
          </w:tcPr>
          <w:p w14:paraId="496F7DC6"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r>
              <w:rPr>
                <w:sz w:val="15"/>
                <w:szCs w:val="15"/>
              </w:rPr>
              <w:t>21 %</w:t>
            </w:r>
          </w:p>
        </w:tc>
        <w:tc>
          <w:tcPr>
            <w:tcW w:w="658" w:type="dxa"/>
            <w:tcBorders>
              <w:top w:val="single" w:sz="4" w:space="0" w:color="auto"/>
              <w:left w:val="single" w:sz="4" w:space="0" w:color="auto"/>
            </w:tcBorders>
            <w:shd w:val="clear" w:color="auto" w:fill="FFFFFF"/>
            <w:vAlign w:val="bottom"/>
          </w:tcPr>
          <w:p w14:paraId="5538EA1F"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proofErr w:type="gramStart"/>
            <w:r>
              <w:rPr>
                <w:sz w:val="15"/>
                <w:szCs w:val="15"/>
              </w:rPr>
              <w:t>26%</w:t>
            </w:r>
            <w:proofErr w:type="gramEnd"/>
          </w:p>
        </w:tc>
        <w:tc>
          <w:tcPr>
            <w:tcW w:w="610" w:type="dxa"/>
            <w:tcBorders>
              <w:left w:val="single" w:sz="4" w:space="0" w:color="auto"/>
            </w:tcBorders>
            <w:shd w:val="clear" w:color="auto" w:fill="FFFFFF"/>
            <w:vAlign w:val="bottom"/>
          </w:tcPr>
          <w:p w14:paraId="037A9543"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proofErr w:type="gramStart"/>
            <w:r>
              <w:rPr>
                <w:sz w:val="15"/>
                <w:szCs w:val="15"/>
              </w:rPr>
              <w:t>29%</w:t>
            </w:r>
            <w:proofErr w:type="gramEnd"/>
          </w:p>
        </w:tc>
      </w:tr>
      <w:tr w:rsidR="00845B18" w14:paraId="31DA2B31" w14:textId="77777777">
        <w:tblPrEx>
          <w:tblCellMar>
            <w:top w:w="0" w:type="dxa"/>
            <w:bottom w:w="0" w:type="dxa"/>
          </w:tblCellMar>
        </w:tblPrEx>
        <w:trPr>
          <w:trHeight w:hRule="exact" w:val="422"/>
        </w:trPr>
        <w:tc>
          <w:tcPr>
            <w:tcW w:w="2285" w:type="dxa"/>
            <w:shd w:val="clear" w:color="auto" w:fill="FFFFFF"/>
            <w:vAlign w:val="bottom"/>
          </w:tcPr>
          <w:p w14:paraId="36B760E1" w14:textId="77777777" w:rsidR="00845B18" w:rsidRDefault="00000000">
            <w:pPr>
              <w:pStyle w:val="Jin0"/>
              <w:framePr w:w="6835" w:h="1334" w:wrap="none" w:vAnchor="page" w:hAnchor="page" w:x="462" w:y="8736"/>
              <w:shd w:val="clear" w:color="auto" w:fill="auto"/>
              <w:spacing w:after="0" w:line="240" w:lineRule="auto"/>
              <w:jc w:val="left"/>
              <w:rPr>
                <w:sz w:val="14"/>
                <w:szCs w:val="14"/>
              </w:rPr>
            </w:pPr>
            <w:r>
              <w:rPr>
                <w:rFonts w:ascii="Arial" w:eastAsia="Arial" w:hAnsi="Arial" w:cs="Arial"/>
                <w:b/>
                <w:bCs/>
                <w:sz w:val="14"/>
                <w:szCs w:val="14"/>
              </w:rPr>
              <w:t>počet vydaných titulů na</w:t>
            </w:r>
          </w:p>
          <w:p w14:paraId="340C57A7" w14:textId="77777777" w:rsidR="00845B18" w:rsidRDefault="00000000">
            <w:pPr>
              <w:pStyle w:val="Jin0"/>
              <w:framePr w:w="6835" w:h="1334" w:wrap="none" w:vAnchor="page" w:hAnchor="page" w:x="462" w:y="8736"/>
              <w:shd w:val="clear" w:color="auto" w:fill="auto"/>
              <w:spacing w:after="0" w:line="240" w:lineRule="auto"/>
              <w:jc w:val="left"/>
              <w:rPr>
                <w:sz w:val="14"/>
                <w:szCs w:val="14"/>
              </w:rPr>
            </w:pPr>
            <w:r>
              <w:rPr>
                <w:rFonts w:ascii="Arial" w:eastAsia="Arial" w:hAnsi="Arial" w:cs="Arial"/>
                <w:b/>
                <w:bCs/>
                <w:sz w:val="14"/>
                <w:szCs w:val="14"/>
              </w:rPr>
              <w:t>1 000 obyvatel</w:t>
            </w:r>
          </w:p>
        </w:tc>
        <w:tc>
          <w:tcPr>
            <w:tcW w:w="658" w:type="dxa"/>
            <w:tcBorders>
              <w:top w:val="single" w:sz="4" w:space="0" w:color="auto"/>
              <w:left w:val="single" w:sz="4" w:space="0" w:color="auto"/>
            </w:tcBorders>
            <w:shd w:val="clear" w:color="auto" w:fill="FFFFFF"/>
          </w:tcPr>
          <w:p w14:paraId="588B792F"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r>
              <w:rPr>
                <w:sz w:val="15"/>
                <w:szCs w:val="15"/>
              </w:rPr>
              <w:t>0,4</w:t>
            </w:r>
          </w:p>
        </w:tc>
        <w:tc>
          <w:tcPr>
            <w:tcW w:w="658" w:type="dxa"/>
            <w:tcBorders>
              <w:top w:val="single" w:sz="4" w:space="0" w:color="auto"/>
              <w:left w:val="single" w:sz="4" w:space="0" w:color="auto"/>
            </w:tcBorders>
            <w:shd w:val="clear" w:color="auto" w:fill="FFFFFF"/>
          </w:tcPr>
          <w:p w14:paraId="79B4DFE8"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r>
              <w:rPr>
                <w:sz w:val="15"/>
                <w:szCs w:val="15"/>
              </w:rPr>
              <w:t>0,4</w:t>
            </w:r>
          </w:p>
        </w:tc>
        <w:tc>
          <w:tcPr>
            <w:tcW w:w="653" w:type="dxa"/>
            <w:tcBorders>
              <w:top w:val="single" w:sz="4" w:space="0" w:color="auto"/>
              <w:left w:val="single" w:sz="4" w:space="0" w:color="auto"/>
            </w:tcBorders>
            <w:shd w:val="clear" w:color="auto" w:fill="FFFFFF"/>
          </w:tcPr>
          <w:p w14:paraId="2AFEAD56"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r>
              <w:rPr>
                <w:sz w:val="15"/>
                <w:szCs w:val="15"/>
              </w:rPr>
              <w:t>0,9</w:t>
            </w:r>
          </w:p>
        </w:tc>
        <w:tc>
          <w:tcPr>
            <w:tcW w:w="658" w:type="dxa"/>
            <w:tcBorders>
              <w:top w:val="single" w:sz="4" w:space="0" w:color="auto"/>
              <w:left w:val="single" w:sz="4" w:space="0" w:color="auto"/>
            </w:tcBorders>
            <w:shd w:val="clear" w:color="auto" w:fill="FFFFFF"/>
            <w:vAlign w:val="center"/>
          </w:tcPr>
          <w:p w14:paraId="074C7F02"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r>
              <w:rPr>
                <w:sz w:val="15"/>
                <w:szCs w:val="15"/>
              </w:rPr>
              <w:t>1,2</w:t>
            </w:r>
          </w:p>
        </w:tc>
        <w:tc>
          <w:tcPr>
            <w:tcW w:w="658" w:type="dxa"/>
            <w:tcBorders>
              <w:top w:val="single" w:sz="4" w:space="0" w:color="auto"/>
              <w:left w:val="single" w:sz="4" w:space="0" w:color="auto"/>
            </w:tcBorders>
            <w:shd w:val="clear" w:color="auto" w:fill="FFFFFF"/>
          </w:tcPr>
          <w:p w14:paraId="1CB11D23"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r>
              <w:rPr>
                <w:sz w:val="15"/>
                <w:szCs w:val="15"/>
              </w:rPr>
              <w:t>1,5</w:t>
            </w:r>
          </w:p>
        </w:tc>
        <w:tc>
          <w:tcPr>
            <w:tcW w:w="658" w:type="dxa"/>
            <w:tcBorders>
              <w:top w:val="single" w:sz="4" w:space="0" w:color="auto"/>
              <w:left w:val="single" w:sz="4" w:space="0" w:color="auto"/>
            </w:tcBorders>
            <w:shd w:val="clear" w:color="auto" w:fill="FFFFFF"/>
          </w:tcPr>
          <w:p w14:paraId="51B77E09"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r>
              <w:rPr>
                <w:sz w:val="15"/>
                <w:szCs w:val="15"/>
              </w:rPr>
              <w:t>1,7</w:t>
            </w:r>
          </w:p>
        </w:tc>
        <w:tc>
          <w:tcPr>
            <w:tcW w:w="610" w:type="dxa"/>
            <w:tcBorders>
              <w:top w:val="single" w:sz="4" w:space="0" w:color="auto"/>
              <w:left w:val="single" w:sz="4" w:space="0" w:color="auto"/>
            </w:tcBorders>
            <w:shd w:val="clear" w:color="auto" w:fill="FFFFFF"/>
            <w:vAlign w:val="center"/>
          </w:tcPr>
          <w:p w14:paraId="076B1390" w14:textId="77777777" w:rsidR="00845B18" w:rsidRDefault="00000000">
            <w:pPr>
              <w:pStyle w:val="Jin0"/>
              <w:framePr w:w="6835" w:h="1334" w:wrap="none" w:vAnchor="page" w:hAnchor="page" w:x="462" w:y="8736"/>
              <w:shd w:val="clear" w:color="auto" w:fill="auto"/>
              <w:spacing w:after="0" w:line="240" w:lineRule="auto"/>
              <w:jc w:val="center"/>
              <w:rPr>
                <w:sz w:val="15"/>
                <w:szCs w:val="15"/>
              </w:rPr>
            </w:pPr>
            <w:r>
              <w:rPr>
                <w:sz w:val="15"/>
                <w:szCs w:val="15"/>
              </w:rPr>
              <w:t>1,8</w:t>
            </w:r>
          </w:p>
        </w:tc>
      </w:tr>
    </w:tbl>
    <w:p w14:paraId="19B7D344" w14:textId="77777777" w:rsidR="00845B18" w:rsidRDefault="00000000">
      <w:pPr>
        <w:pStyle w:val="Titulektabulky0"/>
        <w:framePr w:wrap="none" w:vAnchor="page" w:hAnchor="page" w:x="3116" w:y="10109"/>
        <w:shd w:val="clear" w:color="auto" w:fill="auto"/>
        <w:spacing w:line="240" w:lineRule="auto"/>
        <w:ind w:left="0" w:firstLine="0"/>
        <w:rPr>
          <w:sz w:val="12"/>
          <w:szCs w:val="12"/>
        </w:rPr>
      </w:pPr>
      <w:r>
        <w:rPr>
          <w:rFonts w:ascii="Arial" w:eastAsia="Arial" w:hAnsi="Arial" w:cs="Arial"/>
          <w:sz w:val="12"/>
          <w:szCs w:val="12"/>
        </w:rPr>
        <w:t>Zdroj: Národní knihovna CR</w:t>
      </w:r>
    </w:p>
    <w:p w14:paraId="3C3090B9" w14:textId="77777777" w:rsidR="00845B18" w:rsidRDefault="00000000">
      <w:pPr>
        <w:pStyle w:val="Titulektabulky0"/>
        <w:framePr w:w="6878" w:h="998" w:hRule="exact" w:wrap="none" w:vAnchor="page" w:hAnchor="page" w:x="491" w:y="10584"/>
        <w:shd w:val="clear" w:color="auto" w:fill="auto"/>
        <w:spacing w:line="266" w:lineRule="auto"/>
        <w:ind w:left="220" w:hanging="220"/>
        <w:jc w:val="both"/>
      </w:pPr>
      <w:proofErr w:type="gramStart"/>
      <w:r>
        <w:t>I )</w:t>
      </w:r>
      <w:proofErr w:type="gramEnd"/>
      <w:r>
        <w:t xml:space="preserve"> V této část i vycházíme ze závěrečné kapitoly publikace Zdeňka </w:t>
      </w:r>
      <w:r>
        <w:rPr>
          <w:smallCaps/>
        </w:rPr>
        <w:t>Šimečka</w:t>
      </w:r>
      <w:r>
        <w:t xml:space="preserve"> a Jiřího </w:t>
      </w:r>
      <w:r>
        <w:rPr>
          <w:smallCaps/>
        </w:rPr>
        <w:t xml:space="preserve">Trávnička </w:t>
      </w:r>
      <w:r>
        <w:rPr>
          <w:i/>
          <w:iCs/>
        </w:rPr>
        <w:t>Knihy kupovati.</w:t>
      </w:r>
      <w:r>
        <w:t xml:space="preserve"> Dě</w:t>
      </w:r>
      <w:r>
        <w:softHyphen/>
        <w:t xml:space="preserve">jiny </w:t>
      </w:r>
      <w:r>
        <w:rPr>
          <w:i/>
          <w:iCs/>
        </w:rPr>
        <w:t>knižního trhu v českých zemích,</w:t>
      </w:r>
      <w:r>
        <w:t xml:space="preserve"> Praha: Academia, s. 442-445; dále čerpáme především z těchto studií: </w:t>
      </w:r>
      <w:proofErr w:type="gramStart"/>
      <w:r>
        <w:rPr>
          <w:smallCaps/>
        </w:rPr>
        <w:t xml:space="preserve">Hala- </w:t>
      </w:r>
      <w:r>
        <w:t>i</w:t>
      </w:r>
      <w:proofErr w:type="gramEnd"/>
      <w:r>
        <w:t xml:space="preserve"> </w:t>
      </w:r>
      <w:proofErr w:type="spellStart"/>
      <w:r>
        <w:rPr>
          <w:smallCaps/>
        </w:rPr>
        <w:t>ia</w:t>
      </w:r>
      <w:proofErr w:type="spellEnd"/>
      <w:r>
        <w:rPr>
          <w:smallCaps/>
        </w:rPr>
        <w:t>,</w:t>
      </w:r>
      <w:r>
        <w:rPr>
          <w:rFonts w:ascii="Arial" w:eastAsia="Arial" w:hAnsi="Arial" w:cs="Arial"/>
          <w:b/>
          <w:bCs/>
          <w:sz w:val="14"/>
          <w:szCs w:val="14"/>
        </w:rPr>
        <w:t xml:space="preserve"> |</w:t>
      </w:r>
      <w:proofErr w:type="spellStart"/>
      <w:r>
        <w:rPr>
          <w:rFonts w:ascii="Arial" w:eastAsia="Arial" w:hAnsi="Arial" w:cs="Arial"/>
          <w:b/>
          <w:bCs/>
          <w:sz w:val="14"/>
          <w:szCs w:val="14"/>
        </w:rPr>
        <w:t>an</w:t>
      </w:r>
      <w:proofErr w:type="spellEnd"/>
      <w:r>
        <w:rPr>
          <w:rFonts w:ascii="Arial" w:eastAsia="Arial" w:hAnsi="Arial" w:cs="Arial"/>
          <w:b/>
          <w:bCs/>
          <w:sz w:val="14"/>
          <w:szCs w:val="14"/>
        </w:rPr>
        <w:t xml:space="preserve">. </w:t>
      </w:r>
      <w:r>
        <w:t xml:space="preserve">„Předmluva“, in: </w:t>
      </w:r>
      <w:r>
        <w:rPr>
          <w:smallCaps/>
        </w:rPr>
        <w:t xml:space="preserve">týž. </w:t>
      </w:r>
      <w:r>
        <w:rPr>
          <w:i/>
          <w:iCs/>
        </w:rPr>
        <w:t>Encyklopedie českých nakladatelství 1949-2006,</w:t>
      </w:r>
      <w:r>
        <w:t xml:space="preserve"> Praha: I-</w:t>
      </w:r>
      <w:proofErr w:type="spellStart"/>
      <w:r>
        <w:t>ibri</w:t>
      </w:r>
      <w:proofErr w:type="spellEnd"/>
      <w:r>
        <w:t xml:space="preserve">, 2007, s. 7-21; </w:t>
      </w:r>
      <w:proofErr w:type="gramStart"/>
      <w:r>
        <w:rPr>
          <w:smallCaps/>
        </w:rPr>
        <w:t xml:space="preserve">Pisto- </w:t>
      </w:r>
      <w:proofErr w:type="spellStart"/>
      <w:r>
        <w:rPr>
          <w:sz w:val="12"/>
          <w:szCs w:val="12"/>
        </w:rPr>
        <w:t>itliis</w:t>
      </w:r>
      <w:proofErr w:type="spellEnd"/>
      <w:proofErr w:type="gramEnd"/>
      <w:r>
        <w:rPr>
          <w:sz w:val="12"/>
          <w:szCs w:val="12"/>
        </w:rPr>
        <w:t xml:space="preserve">, </w:t>
      </w:r>
      <w:r>
        <w:rPr>
          <w:lang w:val="fr-FR" w:eastAsia="fr-FR" w:bidi="fr-FR"/>
        </w:rPr>
        <w:t xml:space="preserve">Vladimir, </w:t>
      </w:r>
      <w:r>
        <w:rPr>
          <w:i/>
          <w:iCs/>
        </w:rPr>
        <w:t xml:space="preserve">lak </w:t>
      </w:r>
      <w:proofErr w:type="spellStart"/>
      <w:r>
        <w:rPr>
          <w:i/>
          <w:iCs/>
        </w:rPr>
        <w:t>sedčlii</w:t>
      </w:r>
      <w:proofErr w:type="spellEnd"/>
      <w:r>
        <w:rPr>
          <w:i/>
          <w:iCs/>
        </w:rPr>
        <w:t xml:space="preserve"> kniha,</w:t>
      </w:r>
      <w:r>
        <w:t xml:space="preserve"> Příbram: </w:t>
      </w:r>
      <w:proofErr w:type="spellStart"/>
      <w:r>
        <w:t>Pistorius</w:t>
      </w:r>
      <w:proofErr w:type="spellEnd"/>
      <w:r>
        <w:t xml:space="preserve"> &amp; Olšanská, 2011 [3., </w:t>
      </w:r>
      <w:proofErr w:type="spellStart"/>
      <w:r>
        <w:t>přeprac</w:t>
      </w:r>
      <w:proofErr w:type="spellEnd"/>
      <w:r>
        <w:t xml:space="preserve">. a dopl. </w:t>
      </w:r>
      <w:proofErr w:type="spellStart"/>
      <w:proofErr w:type="gramStart"/>
      <w:r>
        <w:t>vyd.J</w:t>
      </w:r>
      <w:proofErr w:type="spellEnd"/>
      <w:proofErr w:type="gramEnd"/>
      <w:r>
        <w:t xml:space="preserve">, zejm. s. 27-46; </w:t>
      </w:r>
      <w:r>
        <w:rPr>
          <w:smallCaps/>
        </w:rPr>
        <w:t>šmí'1 kalová,</w:t>
      </w:r>
      <w:r>
        <w:t xml:space="preserve"> Jiřina. </w:t>
      </w:r>
      <w:proofErr w:type="spellStart"/>
      <w:r>
        <w:rPr>
          <w:i/>
          <w:iCs/>
        </w:rPr>
        <w:t>Cold</w:t>
      </w:r>
      <w:proofErr w:type="spellEnd"/>
      <w:r>
        <w:rPr>
          <w:i/>
          <w:iCs/>
        </w:rPr>
        <w:t xml:space="preserve"> </w:t>
      </w:r>
      <w:proofErr w:type="spellStart"/>
      <w:r>
        <w:rPr>
          <w:i/>
          <w:iCs/>
        </w:rPr>
        <w:t>Warlimksin</w:t>
      </w:r>
      <w:proofErr w:type="spellEnd"/>
      <w:r>
        <w:rPr>
          <w:i/>
          <w:iCs/>
        </w:rPr>
        <w:t xml:space="preserve"> </w:t>
      </w:r>
      <w:proofErr w:type="spellStart"/>
      <w:proofErr w:type="gramStart"/>
      <w:r>
        <w:rPr>
          <w:i/>
          <w:iCs/>
        </w:rPr>
        <w:t>the</w:t>
      </w:r>
      <w:proofErr w:type="spellEnd"/>
      <w:r>
        <w:rPr>
          <w:i/>
          <w:iCs/>
        </w:rPr>
        <w:t xml:space="preserve"> ‘</w:t>
      </w:r>
      <w:proofErr w:type="spellStart"/>
      <w:proofErr w:type="gramEnd"/>
      <w:r>
        <w:rPr>
          <w:i/>
          <w:iCs/>
        </w:rPr>
        <w:t>Other'P.urope</w:t>
      </w:r>
      <w:proofErr w:type="spellEnd"/>
      <w:r>
        <w:rPr>
          <w:i/>
          <w:iCs/>
        </w:rPr>
        <w:t xml:space="preserve"> and </w:t>
      </w:r>
      <w:proofErr w:type="spellStart"/>
      <w:r>
        <w:rPr>
          <w:i/>
          <w:iCs/>
          <w:lang w:val="fr-FR" w:eastAsia="fr-FR" w:bidi="fr-FR"/>
        </w:rPr>
        <w:t>What</w:t>
      </w:r>
      <w:proofErr w:type="spellEnd"/>
      <w:r>
        <w:rPr>
          <w:i/>
          <w:iCs/>
          <w:lang w:val="fr-FR" w:eastAsia="fr-FR" w:bidi="fr-FR"/>
        </w:rPr>
        <w:t xml:space="preserve"> Came </w:t>
      </w:r>
      <w:proofErr w:type="spellStart"/>
      <w:r>
        <w:rPr>
          <w:i/>
          <w:iCs/>
        </w:rPr>
        <w:t>After</w:t>
      </w:r>
      <w:proofErr w:type="spellEnd"/>
      <w:r>
        <w:rPr>
          <w:i/>
          <w:iCs/>
        </w:rPr>
        <w:t>,</w:t>
      </w:r>
      <w:r>
        <w:t xml:space="preserve"> </w:t>
      </w:r>
      <w:r>
        <w:rPr>
          <w:lang w:val="fr-FR" w:eastAsia="fr-FR" w:bidi="fr-FR"/>
        </w:rPr>
        <w:t xml:space="preserve">Leiden </w:t>
      </w:r>
      <w:r>
        <w:t xml:space="preserve">— Boston: </w:t>
      </w:r>
      <w:proofErr w:type="spellStart"/>
      <w:r>
        <w:t>lirill</w:t>
      </w:r>
      <w:proofErr w:type="spellEnd"/>
      <w:r>
        <w:t>, 2011.</w:t>
      </w:r>
    </w:p>
    <w:p w14:paraId="2E2CEBD0" w14:textId="77777777" w:rsidR="00845B18" w:rsidRDefault="00845B18">
      <w:pPr>
        <w:spacing w:line="14" w:lineRule="exact"/>
        <w:sectPr w:rsidR="00845B18">
          <w:pgSz w:w="8400" w:h="11900"/>
          <w:pgMar w:top="360" w:right="360" w:bottom="360" w:left="360" w:header="0" w:footer="3" w:gutter="0"/>
          <w:cols w:space="720"/>
          <w:noEndnote/>
          <w:docGrid w:linePitch="360"/>
        </w:sectPr>
      </w:pPr>
    </w:p>
    <w:p w14:paraId="0C5F65E7" w14:textId="77777777" w:rsidR="00845B18" w:rsidRDefault="00845B18">
      <w:pPr>
        <w:spacing w:line="14" w:lineRule="exact"/>
      </w:pPr>
    </w:p>
    <w:p w14:paraId="42D51281" w14:textId="77777777" w:rsidR="00845B18" w:rsidRDefault="00000000">
      <w:pPr>
        <w:pStyle w:val="Zkladntext20"/>
        <w:framePr w:w="6998" w:h="11026" w:hRule="exact" w:wrap="none" w:vAnchor="page" w:hAnchor="page" w:x="1014" w:y="533"/>
        <w:numPr>
          <w:ilvl w:val="0"/>
          <w:numId w:val="3"/>
        </w:numPr>
        <w:shd w:val="clear" w:color="auto" w:fill="auto"/>
        <w:tabs>
          <w:tab w:val="left" w:pos="279"/>
        </w:tabs>
        <w:spacing w:after="120" w:line="290" w:lineRule="auto"/>
        <w:rPr>
          <w:sz w:val="18"/>
          <w:szCs w:val="18"/>
        </w:rPr>
      </w:pPr>
      <w:r>
        <w:rPr>
          <w:sz w:val="18"/>
          <w:szCs w:val="18"/>
        </w:rPr>
        <w:t xml:space="preserve">Z hlediska </w:t>
      </w:r>
      <w:r>
        <w:rPr>
          <w:i/>
          <w:iCs/>
          <w:sz w:val="18"/>
          <w:szCs w:val="18"/>
        </w:rPr>
        <w:t>struktury,</w:t>
      </w:r>
      <w:r>
        <w:rPr>
          <w:sz w:val="18"/>
          <w:szCs w:val="18"/>
        </w:rPr>
        <w:t xml:space="preserve"> zažíváme svár entuziasmu a liberalismu, tj. až </w:t>
      </w:r>
      <w:proofErr w:type="spellStart"/>
      <w:proofErr w:type="gramStart"/>
      <w:r>
        <w:rPr>
          <w:sz w:val="18"/>
          <w:szCs w:val="18"/>
        </w:rPr>
        <w:t>obrozenecko</w:t>
      </w:r>
      <w:proofErr w:type="spellEnd"/>
      <w:r>
        <w:rPr>
          <w:sz w:val="18"/>
          <w:szCs w:val="18"/>
        </w:rPr>
        <w:t xml:space="preserve"> -</w:t>
      </w:r>
      <w:proofErr w:type="spellStart"/>
      <w:r>
        <w:rPr>
          <w:sz w:val="18"/>
          <w:szCs w:val="18"/>
        </w:rPr>
        <w:t>krameriovské</w:t>
      </w:r>
      <w:proofErr w:type="spellEnd"/>
      <w:proofErr w:type="gramEnd"/>
      <w:r>
        <w:rPr>
          <w:sz w:val="18"/>
          <w:szCs w:val="18"/>
        </w:rPr>
        <w:t xml:space="preserve"> odhodlanosti (službě knize) a racionálně chladných ekonomických pra videi (podnikatelského pragmatismu). Sotva však jde o nějaké překvapení — to vše tady již bylo, latentně dokonce i v časech socialistických. Specifikem situace po roce 1989 je čekání na to, že tato odhodlanost musí někdy narazit na „objektivní“ danosti. Ale ono pořád nic. Počet nakladatelů, distributorů a titulů neklesá; koncentrace jednotlivých subjektů je velmi pomalá. A takovýto malý trh už přece další nápor nemůže vydržet — říkají mnozí. A dodávají: roztáčet další spirálu ještě rychlejšího přísunu novinek, a tím zkracovat „regálový čas“ (při současném snižování nákladu) nelze. Jen se to ovšem více</w:t>
      </w:r>
      <w:r>
        <w:rPr>
          <w:sz w:val="18"/>
          <w:szCs w:val="18"/>
        </w:rPr>
        <w:softHyphen/>
        <w:t>méně stejnými slovy konstatuje už dvacet let, od první odbytové krize v roce 1992. Vypa</w:t>
      </w:r>
      <w:r>
        <w:rPr>
          <w:sz w:val="18"/>
          <w:szCs w:val="18"/>
        </w:rPr>
        <w:softHyphen/>
        <w:t>dá to, že nestabilita se na českém knižním trhu stala jevem stabilním. To, co se zpočátku zdálo provizoriem (s příslibem blížících se změn), se tedy postupně ustálilo jako norma.</w:t>
      </w:r>
    </w:p>
    <w:p w14:paraId="0333B290" w14:textId="77777777" w:rsidR="00845B18" w:rsidRDefault="00000000">
      <w:pPr>
        <w:pStyle w:val="Zkladntext20"/>
        <w:framePr w:w="6998" w:h="11026" w:hRule="exact" w:wrap="none" w:vAnchor="page" w:hAnchor="page" w:x="1014" w:y="533"/>
        <w:numPr>
          <w:ilvl w:val="0"/>
          <w:numId w:val="3"/>
        </w:numPr>
        <w:shd w:val="clear" w:color="auto" w:fill="auto"/>
        <w:tabs>
          <w:tab w:val="left" w:pos="289"/>
        </w:tabs>
        <w:spacing w:after="120" w:line="290" w:lineRule="auto"/>
        <w:rPr>
          <w:sz w:val="18"/>
          <w:szCs w:val="18"/>
        </w:rPr>
      </w:pPr>
      <w:r>
        <w:rPr>
          <w:sz w:val="18"/>
          <w:szCs w:val="18"/>
        </w:rPr>
        <w:t xml:space="preserve">Z hlediska </w:t>
      </w:r>
      <w:r>
        <w:rPr>
          <w:i/>
          <w:iCs/>
          <w:sz w:val="18"/>
          <w:szCs w:val="18"/>
        </w:rPr>
        <w:t>mezinárodního:</w:t>
      </w:r>
      <w:r>
        <w:rPr>
          <w:sz w:val="18"/>
          <w:szCs w:val="18"/>
        </w:rPr>
        <w:t xml:space="preserve"> v produkci knih na počet obyvatel se Česká republika za</w:t>
      </w:r>
      <w:r>
        <w:rPr>
          <w:sz w:val="18"/>
          <w:szCs w:val="18"/>
        </w:rPr>
        <w:softHyphen/>
        <w:t xml:space="preserve">řadila na jedno z čelných míst ve světě; velmi vysoký je i počet aktivních čtenářů. Po západním způsobu se podařilo vytvořit několik fungujících distribučních a prodejních sítí. Internetový prodej je schopen nabídnout shodné uživatelské standardy, na jaké jsou zvyklí čtenáři ve vyspělých zemích. Strategickou nevýhodou je však to, že je český trh poměrně malý, a také to, že je značně </w:t>
      </w:r>
      <w:proofErr w:type="spellStart"/>
      <w:r>
        <w:rPr>
          <w:sz w:val="18"/>
          <w:szCs w:val="18"/>
        </w:rPr>
        <w:t>podkapitalizován</w:t>
      </w:r>
      <w:proofErr w:type="spellEnd"/>
      <w:r>
        <w:rPr>
          <w:sz w:val="18"/>
          <w:szCs w:val="18"/>
        </w:rPr>
        <w:t>. Na rozdíl od vyspělého světa na něm chybějí tzv. „velcí hráči“, což se projevuje daleko větší roztříštěností a často rezignací na dlouhodobější strategie i nedůslednou propagací. Na druhé straně však tato roztříš</w:t>
      </w:r>
      <w:r>
        <w:rPr>
          <w:sz w:val="18"/>
          <w:szCs w:val="18"/>
        </w:rPr>
        <w:softHyphen/>
        <w:t>těnost (menší míra homogenizace) zaručuje českému trhu větší pružnost, jež se proje</w:t>
      </w:r>
      <w:r>
        <w:rPr>
          <w:sz w:val="18"/>
          <w:szCs w:val="18"/>
        </w:rPr>
        <w:softHyphen/>
        <w:t>vuje například variabilnějším zprostředkováváním zahraničních novinek, tj. důrazem i na menší literatury, takže český čtenář má daleko plastičtější obraz o tom, co se vydává ve světě, než například čtenář americký. Oproti západním zemím se český trh vyznaču</w:t>
      </w:r>
      <w:r>
        <w:rPr>
          <w:sz w:val="18"/>
          <w:szCs w:val="18"/>
        </w:rPr>
        <w:softHyphen/>
        <w:t>je i nedostatkem spolehlivých dat (náklady, objem finančních prostředků, honorářová politika) a neochotou je sdělovat. Za západními standardy výrazně stále zaostává sféra univerzitní (zejména ediční dramaturgií a distribučními kanály).</w:t>
      </w:r>
    </w:p>
    <w:p w14:paraId="7155EDAA" w14:textId="77777777" w:rsidR="00845B18" w:rsidRDefault="00000000">
      <w:pPr>
        <w:pStyle w:val="Zkladntext20"/>
        <w:framePr w:w="6998" w:h="11026" w:hRule="exact" w:wrap="none" w:vAnchor="page" w:hAnchor="page" w:x="1014" w:y="533"/>
        <w:numPr>
          <w:ilvl w:val="0"/>
          <w:numId w:val="3"/>
        </w:numPr>
        <w:shd w:val="clear" w:color="auto" w:fill="auto"/>
        <w:tabs>
          <w:tab w:val="left" w:pos="284"/>
        </w:tabs>
        <w:spacing w:after="0" w:line="290" w:lineRule="auto"/>
        <w:rPr>
          <w:sz w:val="18"/>
          <w:szCs w:val="18"/>
        </w:rPr>
      </w:pPr>
      <w:r>
        <w:rPr>
          <w:sz w:val="18"/>
          <w:szCs w:val="18"/>
        </w:rPr>
        <w:t xml:space="preserve">Z hlediska </w:t>
      </w:r>
      <w:r>
        <w:rPr>
          <w:i/>
          <w:iCs/>
          <w:sz w:val="18"/>
          <w:szCs w:val="18"/>
        </w:rPr>
        <w:t>historického:</w:t>
      </w:r>
      <w:r>
        <w:rPr>
          <w:sz w:val="18"/>
          <w:szCs w:val="18"/>
        </w:rPr>
        <w:t xml:space="preserve"> v době pobělohorské a za protektorátu </w:t>
      </w:r>
      <w:r>
        <w:rPr>
          <w:sz w:val="18"/>
          <w:szCs w:val="18"/>
          <w:lang w:val="fr-FR" w:eastAsia="fr-FR" w:bidi="fr-FR"/>
        </w:rPr>
        <w:t xml:space="preserve">si </w:t>
      </w:r>
      <w:r>
        <w:rPr>
          <w:sz w:val="18"/>
          <w:szCs w:val="18"/>
        </w:rPr>
        <w:t>česká kniha odbyla zkušenost svého ohrožení, za národního obrození a první republiky bylo jejím motivem ustavování a rozšiřování struktur pro její existenci a oběh, doba socialismu jí zase nabídla poznání její mocenské instrumentalizace. I polistopadové období mělo, stejně jako téměř všechna období předchozí, svou vizi, jíž bylo popoháněno. Bylo to vysvobození knihy z područí moci a ideologie. V této představě hrálo důležitou roli splácení dluhů a zapl</w:t>
      </w:r>
      <w:r>
        <w:rPr>
          <w:sz w:val="18"/>
          <w:szCs w:val="18"/>
        </w:rPr>
        <w:softHyphen/>
        <w:t>ňování bílých míst, čili čas minulý. Daný cíl se však naplnil poměrně brzy. Poté nastalo svého druhu prázdno. Jako by sociálnímu životu knih chyběl nějaký vyšší důvod. Vydávat současnou produkci, kultivovat vztahy mezi různými subjekty knižního trhu, zlepšovat profesní standardy? Ano, určitě, ale není to trochu málo? Nezavání to pouze udržováním chodu? Z pátera Vrby přece nelze jen tak udělat profesionálně korektního obchodního agenta! A Matěj Václav Kramerius také nebyl jen pouhým podnikatelem, jemuž se sho</w:t>
      </w:r>
      <w:r>
        <w:rPr>
          <w:sz w:val="18"/>
          <w:szCs w:val="18"/>
        </w:rPr>
        <w:softHyphen/>
        <w:t>dou okolností do jeho obchodnické cesty připletly knihy. Zákonitě došlo na „potíže ro</w:t>
      </w:r>
      <w:r>
        <w:rPr>
          <w:sz w:val="18"/>
          <w:szCs w:val="18"/>
        </w:rPr>
        <w:softHyphen/>
        <w:t xml:space="preserve">vin“, tedy na to, jak knihu obhajovat a rozšiřovat v časech normálních. Nicméně i tady se ukazuje, že kniha má v českém prostředí stále hodné daleko k tomu, aby se stala pouhou obchodní komoditou, srovnatelnou například </w:t>
      </w:r>
      <w:r>
        <w:rPr>
          <w:rFonts w:ascii="Arial" w:eastAsia="Arial" w:hAnsi="Arial" w:cs="Arial"/>
          <w:sz w:val="18"/>
          <w:szCs w:val="18"/>
        </w:rPr>
        <w:t xml:space="preserve">s </w:t>
      </w:r>
      <w:r>
        <w:rPr>
          <w:sz w:val="18"/>
          <w:szCs w:val="18"/>
        </w:rPr>
        <w:t>oblečením, kosmetikou či elektronikou.</w:t>
      </w:r>
    </w:p>
    <w:p w14:paraId="088B8B2C" w14:textId="77777777" w:rsidR="00845B18" w:rsidRDefault="00845B18">
      <w:pPr>
        <w:spacing w:line="14" w:lineRule="exact"/>
        <w:sectPr w:rsidR="00845B18">
          <w:pgSz w:w="8400" w:h="11900"/>
          <w:pgMar w:top="360" w:right="360" w:bottom="360" w:left="360" w:header="0" w:footer="3" w:gutter="0"/>
          <w:cols w:space="720"/>
          <w:noEndnote/>
          <w:docGrid w:linePitch="360"/>
        </w:sectPr>
      </w:pPr>
    </w:p>
    <w:p w14:paraId="6C66DD7D" w14:textId="77777777" w:rsidR="00845B18" w:rsidRDefault="00845B18">
      <w:pPr>
        <w:spacing w:line="14" w:lineRule="exact"/>
      </w:pPr>
    </w:p>
    <w:p w14:paraId="414C01B1" w14:textId="77777777" w:rsidR="00845B18" w:rsidRDefault="00000000">
      <w:pPr>
        <w:pStyle w:val="Zkladntext20"/>
        <w:framePr w:w="6965" w:h="2534" w:hRule="exact" w:wrap="none" w:vAnchor="page" w:hAnchor="page" w:x="407" w:y="960"/>
        <w:shd w:val="clear" w:color="auto" w:fill="auto"/>
        <w:spacing w:after="0" w:line="302" w:lineRule="auto"/>
        <w:rPr>
          <w:sz w:val="18"/>
          <w:szCs w:val="18"/>
        </w:rPr>
      </w:pPr>
      <w:r>
        <w:rPr>
          <w:sz w:val="18"/>
          <w:szCs w:val="18"/>
          <w:lang w:val="es-ES" w:eastAsia="es-ES" w:bidi="es-ES"/>
        </w:rPr>
        <w:t xml:space="preserve">i </w:t>
      </w:r>
      <w:r>
        <w:rPr>
          <w:sz w:val="18"/>
          <w:szCs w:val="18"/>
          <w:lang w:val="fr-FR" w:eastAsia="fr-FR" w:bidi="fr-FR"/>
        </w:rPr>
        <w:t xml:space="preserve">U J </w:t>
      </w:r>
      <w:r>
        <w:rPr>
          <w:sz w:val="18"/>
          <w:szCs w:val="18"/>
        </w:rPr>
        <w:t>ví-</w:t>
      </w:r>
      <w:proofErr w:type="spellStart"/>
      <w:r>
        <w:rPr>
          <w:sz w:val="18"/>
          <w:szCs w:val="18"/>
        </w:rPr>
        <w:t>IŇÍmi</w:t>
      </w:r>
      <w:proofErr w:type="spellEnd"/>
      <w:r>
        <w:rPr>
          <w:sz w:val="18"/>
          <w:szCs w:val="18"/>
        </w:rPr>
        <w:t xml:space="preserve"> nakladateli roku 2013 byli </w:t>
      </w:r>
      <w:r>
        <w:rPr>
          <w:sz w:val="18"/>
          <w:szCs w:val="18"/>
          <w:lang w:val="es-ES" w:eastAsia="es-ES" w:bidi="es-ES"/>
        </w:rPr>
        <w:t xml:space="preserve">tilo: </w:t>
      </w:r>
      <w:r>
        <w:rPr>
          <w:sz w:val="18"/>
          <w:szCs w:val="18"/>
        </w:rPr>
        <w:t xml:space="preserve">nakladatelská skupina Albatros Media (730 </w:t>
      </w:r>
      <w:proofErr w:type="spellStart"/>
      <w:r>
        <w:rPr>
          <w:rFonts w:ascii="Arial" w:eastAsia="Arial" w:hAnsi="Arial" w:cs="Arial"/>
          <w:sz w:val="13"/>
          <w:szCs w:val="13"/>
        </w:rPr>
        <w:t>llluhi</w:t>
      </w:r>
      <w:proofErr w:type="spellEnd"/>
      <w:r>
        <w:rPr>
          <w:rFonts w:ascii="Arial" w:eastAsia="Arial" w:hAnsi="Arial" w:cs="Arial"/>
          <w:sz w:val="13"/>
          <w:szCs w:val="13"/>
        </w:rPr>
        <w:t xml:space="preserve"> za </w:t>
      </w:r>
      <w:r>
        <w:rPr>
          <w:sz w:val="18"/>
          <w:szCs w:val="18"/>
        </w:rPr>
        <w:t xml:space="preserve">rok), nakladatelská skupina </w:t>
      </w:r>
      <w:proofErr w:type="spellStart"/>
      <w:r>
        <w:rPr>
          <w:sz w:val="18"/>
          <w:szCs w:val="18"/>
        </w:rPr>
        <w:t>Euromedia</w:t>
      </w:r>
      <w:proofErr w:type="spellEnd"/>
      <w:r>
        <w:rPr>
          <w:sz w:val="18"/>
          <w:szCs w:val="18"/>
        </w:rPr>
        <w:t xml:space="preserve"> Group (510), Vydavatelství Univerzity i' </w:t>
      </w:r>
      <w:proofErr w:type="spellStart"/>
      <w:proofErr w:type="gramStart"/>
      <w:r>
        <w:rPr>
          <w:sz w:val="18"/>
          <w:szCs w:val="18"/>
        </w:rPr>
        <w:t>il.n</w:t>
      </w:r>
      <w:proofErr w:type="spellEnd"/>
      <w:proofErr w:type="gramEnd"/>
      <w:r>
        <w:rPr>
          <w:sz w:val="18"/>
          <w:szCs w:val="18"/>
        </w:rPr>
        <w:t xml:space="preserve"> </w:t>
      </w:r>
      <w:r>
        <w:rPr>
          <w:sz w:val="18"/>
          <w:szCs w:val="18"/>
          <w:lang w:val="fr-FR" w:eastAsia="fr-FR" w:bidi="fr-FR"/>
        </w:rPr>
        <w:t xml:space="preserve">lu </w:t>
      </w:r>
      <w:r>
        <w:rPr>
          <w:sz w:val="18"/>
          <w:szCs w:val="18"/>
        </w:rPr>
        <w:t xml:space="preserve">ho (418), </w:t>
      </w:r>
      <w:r>
        <w:rPr>
          <w:sz w:val="18"/>
          <w:szCs w:val="18"/>
          <w:lang w:val="es-ES" w:eastAsia="es-ES" w:bidi="es-ES"/>
        </w:rPr>
        <w:t xml:space="preserve">Grada </w:t>
      </w:r>
      <w:r>
        <w:rPr>
          <w:sz w:val="18"/>
          <w:szCs w:val="18"/>
        </w:rPr>
        <w:t xml:space="preserve">Publishing (371), </w:t>
      </w:r>
      <w:proofErr w:type="spellStart"/>
      <w:r>
        <w:rPr>
          <w:sz w:val="18"/>
          <w:szCs w:val="18"/>
        </w:rPr>
        <w:t>Egmont</w:t>
      </w:r>
      <w:proofErr w:type="spellEnd"/>
      <w:r>
        <w:rPr>
          <w:sz w:val="18"/>
          <w:szCs w:val="18"/>
        </w:rPr>
        <w:t xml:space="preserve"> (369) a MOBA (337). Podíl této prv</w:t>
      </w:r>
      <w:r>
        <w:rPr>
          <w:sz w:val="18"/>
          <w:szCs w:val="18"/>
        </w:rPr>
        <w:softHyphen/>
        <w:t xml:space="preserve">ní pilky na celkové titulové nabídce činil 13,2 %. Ve Finsku tvoří podíl největších pěti n </w:t>
      </w:r>
      <w:proofErr w:type="spellStart"/>
      <w:r>
        <w:rPr>
          <w:sz w:val="18"/>
          <w:szCs w:val="18"/>
        </w:rPr>
        <w:t>it</w:t>
      </w:r>
      <w:proofErr w:type="spellEnd"/>
      <w:r>
        <w:rPr>
          <w:sz w:val="18"/>
          <w:szCs w:val="18"/>
        </w:rPr>
        <w:t xml:space="preserve"> </w:t>
      </w:r>
      <w:proofErr w:type="spellStart"/>
      <w:r>
        <w:rPr>
          <w:sz w:val="18"/>
          <w:szCs w:val="18"/>
        </w:rPr>
        <w:t>I.</w:t>
      </w:r>
      <w:proofErr w:type="gramStart"/>
      <w:r>
        <w:rPr>
          <w:sz w:val="18"/>
          <w:szCs w:val="18"/>
        </w:rPr>
        <w:t>ni,ilelství</w:t>
      </w:r>
      <w:proofErr w:type="spellEnd"/>
      <w:proofErr w:type="gramEnd"/>
      <w:r>
        <w:rPr>
          <w:sz w:val="18"/>
          <w:szCs w:val="18"/>
        </w:rPr>
        <w:t xml:space="preserve"> 72 %, v Nizozemsku 75 % a ve Francii dokonce 78 %. Celkový počet </w:t>
      </w:r>
      <w:proofErr w:type="spellStart"/>
      <w:r>
        <w:rPr>
          <w:sz w:val="18"/>
          <w:szCs w:val="18"/>
        </w:rPr>
        <w:t>regis</w:t>
      </w:r>
      <w:proofErr w:type="spellEnd"/>
      <w:r>
        <w:rPr>
          <w:sz w:val="18"/>
          <w:szCs w:val="18"/>
        </w:rPr>
        <w:t xml:space="preserve">- </w:t>
      </w:r>
      <w:proofErr w:type="spellStart"/>
      <w:proofErr w:type="gramStart"/>
      <w:r>
        <w:rPr>
          <w:sz w:val="18"/>
          <w:szCs w:val="18"/>
        </w:rPr>
        <w:t>iniv.iiiých</w:t>
      </w:r>
      <w:proofErr w:type="spellEnd"/>
      <w:proofErr w:type="gramEnd"/>
      <w:r>
        <w:rPr>
          <w:sz w:val="18"/>
          <w:szCs w:val="18"/>
        </w:rPr>
        <w:t xml:space="preserve"> nakladatelských subjektů v roce 2013 dosáhl čísla 5 796, přičemž na celkové i </w:t>
      </w:r>
      <w:proofErr w:type="spellStart"/>
      <w:r>
        <w:rPr>
          <w:sz w:val="18"/>
          <w:szCs w:val="18"/>
        </w:rPr>
        <w:t>ui</w:t>
      </w:r>
      <w:proofErr w:type="spellEnd"/>
      <w:r>
        <w:rPr>
          <w:sz w:val="18"/>
          <w:szCs w:val="18"/>
        </w:rPr>
        <w:t xml:space="preserve"> ni produkci se jich podílela ani ne polovina (2 037). Co do vlastnické struktury bylo</w:t>
      </w:r>
    </w:p>
    <w:p w14:paraId="1BE9B1C1" w14:textId="77777777" w:rsidR="00845B18" w:rsidRDefault="00000000">
      <w:pPr>
        <w:pStyle w:val="Zkladntext20"/>
        <w:framePr w:w="6965" w:h="2534" w:hRule="exact" w:wrap="none" w:vAnchor="page" w:hAnchor="page" w:x="407" w:y="960"/>
        <w:shd w:val="clear" w:color="auto" w:fill="auto"/>
        <w:spacing w:after="0" w:line="290" w:lineRule="auto"/>
        <w:ind w:firstLine="280"/>
        <w:jc w:val="left"/>
        <w:rPr>
          <w:sz w:val="18"/>
          <w:szCs w:val="18"/>
        </w:rPr>
      </w:pPr>
      <w:r>
        <w:rPr>
          <w:sz w:val="18"/>
          <w:szCs w:val="18"/>
        </w:rPr>
        <w:t xml:space="preserve">"h nakladatelství soukromých, druhou největší skupinu tvořila nakladatelství vysoko- 1 </w:t>
      </w:r>
      <w:proofErr w:type="spellStart"/>
      <w:proofErr w:type="gramStart"/>
      <w:r>
        <w:rPr>
          <w:sz w:val="18"/>
          <w:szCs w:val="18"/>
        </w:rPr>
        <w:t>iil</w:t>
      </w:r>
      <w:proofErr w:type="spellEnd"/>
      <w:r>
        <w:rPr>
          <w:sz w:val="18"/>
          <w:szCs w:val="18"/>
        </w:rPr>
        <w:t xml:space="preserve"> .</w:t>
      </w:r>
      <w:proofErr w:type="spellStart"/>
      <w:r>
        <w:rPr>
          <w:sz w:val="18"/>
          <w:szCs w:val="18"/>
        </w:rPr>
        <w:t>k</w:t>
      </w:r>
      <w:proofErr w:type="gramEnd"/>
      <w:r>
        <w:rPr>
          <w:sz w:val="18"/>
          <w:szCs w:val="18"/>
        </w:rPr>
        <w:t>.i</w:t>
      </w:r>
      <w:proofErr w:type="spellEnd"/>
      <w:r>
        <w:rPr>
          <w:sz w:val="18"/>
          <w:szCs w:val="18"/>
        </w:rPr>
        <w:t xml:space="preserve"> ( 14 %). Překlady tvořily 37 % produkce; podíl prvních vydání a vydání dalších I ni </w:t>
      </w:r>
      <w:proofErr w:type="gramStart"/>
      <w:r>
        <w:rPr>
          <w:sz w:val="18"/>
          <w:szCs w:val="18"/>
        </w:rPr>
        <w:t>88 :</w:t>
      </w:r>
      <w:proofErr w:type="gramEnd"/>
      <w:r>
        <w:rPr>
          <w:sz w:val="18"/>
          <w:szCs w:val="18"/>
        </w:rPr>
        <w:t xml:space="preserve"> 12. Z pohledu knižního zeměpisu situace vypadá takto (viz následující graf).</w:t>
      </w:r>
    </w:p>
    <w:p w14:paraId="6F54F368" w14:textId="77777777" w:rsidR="00845B18" w:rsidRDefault="00000000">
      <w:pPr>
        <w:pStyle w:val="Titulekobrzku0"/>
        <w:framePr w:wrap="none" w:vAnchor="page" w:hAnchor="page" w:x="2034" w:y="3692"/>
        <w:shd w:val="clear" w:color="auto" w:fill="auto"/>
        <w:rPr>
          <w:sz w:val="16"/>
          <w:szCs w:val="16"/>
        </w:rPr>
      </w:pPr>
      <w:r>
        <w:rPr>
          <w:rFonts w:ascii="Calibri" w:eastAsia="Calibri" w:hAnsi="Calibri" w:cs="Calibri"/>
          <w:b w:val="0"/>
          <w:bCs w:val="0"/>
          <w:sz w:val="16"/>
          <w:szCs w:val="16"/>
        </w:rPr>
        <w:t>Graf 2.1 Podíl jednotlivých měst na titulové nabídce</w:t>
      </w:r>
    </w:p>
    <w:p w14:paraId="290AC2C3" w14:textId="77777777" w:rsidR="00845B18" w:rsidRDefault="00000000">
      <w:pPr>
        <w:pStyle w:val="Titulekobrzku0"/>
        <w:framePr w:wrap="none" w:vAnchor="page" w:hAnchor="page" w:x="983" w:y="4004"/>
        <w:shd w:val="clear" w:color="auto" w:fill="auto"/>
        <w:rPr>
          <w:sz w:val="12"/>
          <w:szCs w:val="12"/>
        </w:rPr>
      </w:pPr>
      <w:r>
        <w:rPr>
          <w:sz w:val="12"/>
          <w:szCs w:val="12"/>
        </w:rPr>
        <w:t>73,6%</w:t>
      </w:r>
    </w:p>
    <w:p w14:paraId="1CDE6E8F" w14:textId="77777777" w:rsidR="00845B18" w:rsidRDefault="00000000">
      <w:pPr>
        <w:pStyle w:val="Zkladntext20"/>
        <w:framePr w:w="6965" w:h="5400" w:hRule="exact" w:wrap="none" w:vAnchor="page" w:hAnchor="page" w:x="407" w:y="6178"/>
        <w:shd w:val="clear" w:color="auto" w:fill="auto"/>
        <w:spacing w:after="300" w:line="290" w:lineRule="auto"/>
        <w:rPr>
          <w:sz w:val="18"/>
          <w:szCs w:val="18"/>
        </w:rPr>
      </w:pPr>
      <w:r>
        <w:rPr>
          <w:sz w:val="18"/>
          <w:szCs w:val="18"/>
        </w:rPr>
        <w:t xml:space="preserve">i </w:t>
      </w:r>
      <w:proofErr w:type="spellStart"/>
      <w:r>
        <w:rPr>
          <w:sz w:val="18"/>
          <w:szCs w:val="18"/>
        </w:rPr>
        <w:t>iilbaduje</w:t>
      </w:r>
      <w:proofErr w:type="spellEnd"/>
      <w:r>
        <w:rPr>
          <w:sz w:val="18"/>
          <w:szCs w:val="18"/>
        </w:rPr>
        <w:t xml:space="preserve"> se, že roční objem prostředků (obrat), který v současnosti českým knižním </w:t>
      </w:r>
      <w:r>
        <w:rPr>
          <w:rFonts w:ascii="Arial" w:eastAsia="Arial" w:hAnsi="Arial" w:cs="Arial"/>
          <w:sz w:val="13"/>
          <w:szCs w:val="13"/>
        </w:rPr>
        <w:t xml:space="preserve">liliem </w:t>
      </w:r>
      <w:r>
        <w:rPr>
          <w:sz w:val="18"/>
          <w:szCs w:val="18"/>
        </w:rPr>
        <w:t xml:space="preserve">projde, je asi 8,2 miliardy korun; největší knihkupeckou sítí byl ke 3. září 2013 </w:t>
      </w:r>
      <w:proofErr w:type="gramStart"/>
      <w:r>
        <w:rPr>
          <w:sz w:val="18"/>
          <w:szCs w:val="18"/>
        </w:rPr>
        <w:t>l .</w:t>
      </w:r>
      <w:proofErr w:type="spellStart"/>
      <w:r>
        <w:rPr>
          <w:sz w:val="18"/>
          <w:szCs w:val="18"/>
        </w:rPr>
        <w:t>inzelsberger</w:t>
      </w:r>
      <w:proofErr w:type="spellEnd"/>
      <w:proofErr w:type="gramEnd"/>
      <w:r>
        <w:rPr>
          <w:sz w:val="18"/>
          <w:szCs w:val="18"/>
        </w:rPr>
        <w:t xml:space="preserve">, a. s. (48 prodejen); nejnavštěvovanějším internetovým knihkupectvím </w:t>
      </w:r>
      <w:r>
        <w:rPr>
          <w:sz w:val="18"/>
          <w:szCs w:val="18"/>
          <w:lang w:val="en-US" w:eastAsia="en-US" w:bidi="en-US"/>
        </w:rPr>
        <w:t xml:space="preserve">kosrnas.cz; </w:t>
      </w:r>
      <w:r>
        <w:rPr>
          <w:sz w:val="18"/>
          <w:szCs w:val="18"/>
        </w:rPr>
        <w:t>podíl přeložených titulů na celkové produkci v roce 2012 byl 34 %, z čehož po klady z angličtiny tvořily více než polovinu (57 %). Pokud jde o elektronické knihy, odhaduje se, že v roce 2012 jejich prodej představoval 0,35 % (asi 200 000 prodaných exemplářů) finančního objemu českého knižního trhu. Podíl internetových knihkupectví na celkovém maloobchodním obratu se odhaduje na 12-15 %.</w:t>
      </w:r>
      <w:r>
        <w:rPr>
          <w:sz w:val="18"/>
          <w:szCs w:val="18"/>
          <w:vertAlign w:val="superscript"/>
        </w:rPr>
        <w:t>2</w:t>
      </w:r>
      <w:r>
        <w:rPr>
          <w:sz w:val="18"/>
          <w:szCs w:val="18"/>
        </w:rPr>
        <w:t>&gt;</w:t>
      </w:r>
    </w:p>
    <w:p w14:paraId="1C4434E0" w14:textId="77777777" w:rsidR="00845B18" w:rsidRDefault="00000000">
      <w:pPr>
        <w:pStyle w:val="Zkladntext60"/>
        <w:framePr w:w="6965" w:h="5400" w:hRule="exact" w:wrap="none" w:vAnchor="page" w:hAnchor="page" w:x="407" w:y="6178"/>
        <w:shd w:val="clear" w:color="auto" w:fill="auto"/>
        <w:spacing w:after="120" w:line="307" w:lineRule="auto"/>
        <w:ind w:right="260"/>
        <w:rPr>
          <w:sz w:val="17"/>
          <w:szCs w:val="17"/>
        </w:rPr>
      </w:pPr>
      <w:r>
        <w:rPr>
          <w:sz w:val="17"/>
          <w:szCs w:val="17"/>
        </w:rPr>
        <w:t>| POHLEDEM AKTÉRŮ A ZNALCŮ ■</w:t>
      </w:r>
    </w:p>
    <w:p w14:paraId="7FAD2F71" w14:textId="77777777" w:rsidR="00845B18" w:rsidRDefault="00000000">
      <w:pPr>
        <w:pStyle w:val="Zkladntext20"/>
        <w:framePr w:w="6965" w:h="5400" w:hRule="exact" w:wrap="none" w:vAnchor="page" w:hAnchor="page" w:x="407" w:y="6178"/>
        <w:shd w:val="clear" w:color="auto" w:fill="auto"/>
        <w:spacing w:after="120" w:line="290" w:lineRule="auto"/>
        <w:rPr>
          <w:sz w:val="18"/>
          <w:szCs w:val="18"/>
        </w:rPr>
      </w:pPr>
      <w:r>
        <w:rPr>
          <w:sz w:val="18"/>
          <w:szCs w:val="18"/>
        </w:rPr>
        <w:t>V léto části bychom chtěli dát slovo těm, kdo se na českém knižním trhu pohybují či pohybovali v roli jeho aktérů, respektive jsou jeho dlouholetými a zasvěcenými pozoro</w:t>
      </w:r>
      <w:r>
        <w:rPr>
          <w:sz w:val="18"/>
          <w:szCs w:val="18"/>
        </w:rPr>
        <w:softHyphen/>
        <w:t>vateli. Oslovili jsme je (na podzim 2013) s těmito dvěma otázkami:</w:t>
      </w:r>
    </w:p>
    <w:p w14:paraId="3201F97D" w14:textId="77777777" w:rsidR="00845B18" w:rsidRDefault="00000000">
      <w:pPr>
        <w:pStyle w:val="Zkladntext20"/>
        <w:framePr w:w="6965" w:h="5400" w:hRule="exact" w:wrap="none" w:vAnchor="page" w:hAnchor="page" w:x="407" w:y="6178"/>
        <w:shd w:val="clear" w:color="auto" w:fill="auto"/>
        <w:spacing w:after="120" w:line="290" w:lineRule="auto"/>
        <w:rPr>
          <w:sz w:val="18"/>
          <w:szCs w:val="18"/>
        </w:rPr>
      </w:pPr>
      <w:r>
        <w:rPr>
          <w:sz w:val="18"/>
          <w:szCs w:val="18"/>
        </w:rPr>
        <w:t xml:space="preserve">Z. </w:t>
      </w:r>
      <w:r>
        <w:rPr>
          <w:i/>
          <w:iCs/>
          <w:sz w:val="18"/>
          <w:szCs w:val="18"/>
        </w:rPr>
        <w:t>lak hodnotíte současný český knižní trh (jeho přednosti a nedostatky)?</w:t>
      </w:r>
    </w:p>
    <w:p w14:paraId="10CCF892" w14:textId="77777777" w:rsidR="00845B18" w:rsidRDefault="00000000">
      <w:pPr>
        <w:pStyle w:val="Zkladntext20"/>
        <w:framePr w:w="6965" w:h="5400" w:hRule="exact" w:wrap="none" w:vAnchor="page" w:hAnchor="page" w:x="407" w:y="6178"/>
        <w:shd w:val="clear" w:color="auto" w:fill="auto"/>
        <w:spacing w:after="360" w:line="290" w:lineRule="auto"/>
        <w:rPr>
          <w:sz w:val="18"/>
          <w:szCs w:val="18"/>
        </w:rPr>
      </w:pPr>
      <w:r>
        <w:rPr>
          <w:i/>
          <w:iCs/>
          <w:sz w:val="18"/>
          <w:szCs w:val="18"/>
        </w:rPr>
        <w:t>2. jaký očekáváte jeho další vývoj?</w:t>
      </w:r>
    </w:p>
    <w:p w14:paraId="2268A972" w14:textId="77777777" w:rsidR="00845B18" w:rsidRDefault="00000000">
      <w:pPr>
        <w:pStyle w:val="Zkladntext1"/>
        <w:framePr w:w="6965" w:h="5400" w:hRule="exact" w:wrap="none" w:vAnchor="page" w:hAnchor="page" w:x="407" w:y="6178"/>
        <w:shd w:val="clear" w:color="auto" w:fill="auto"/>
        <w:spacing w:line="264" w:lineRule="auto"/>
        <w:ind w:left="240" w:hanging="240"/>
      </w:pPr>
      <w:r>
        <w:t xml:space="preserve">•’) Všechny údaje viz </w:t>
      </w:r>
      <w:proofErr w:type="spellStart"/>
      <w:r>
        <w:rPr>
          <w:smallCaps/>
        </w:rPr>
        <w:t>Pistorius</w:t>
      </w:r>
      <w:proofErr w:type="spellEnd"/>
      <w:r>
        <w:rPr>
          <w:smallCaps/>
        </w:rPr>
        <w:t>,</w:t>
      </w:r>
      <w:r>
        <w:t xml:space="preserve"> Vladimír ad. </w:t>
      </w:r>
      <w:r>
        <w:rPr>
          <w:i/>
          <w:iCs/>
        </w:rPr>
        <w:t>Zpráva o českém knižním trhu 2012/2013;</w:t>
      </w:r>
      <w:r>
        <w:t xml:space="preserve"> dostupné na </w:t>
      </w:r>
      <w:r>
        <w:rPr>
          <w:u w:val="single"/>
        </w:rPr>
        <w:t xml:space="preserve">http:// </w:t>
      </w:r>
      <w:hyperlink r:id="rId20" w:history="1">
        <w:r>
          <w:rPr>
            <w:lang w:val="en-US" w:eastAsia="en-US" w:bidi="en-US"/>
          </w:rPr>
          <w:t>www.sckn.cz/content/zpravy/file-936.pdf</w:t>
        </w:r>
      </w:hyperlink>
      <w:r>
        <w:rPr>
          <w:lang w:val="en-US" w:eastAsia="en-US" w:bidi="en-US"/>
        </w:rPr>
        <w:t xml:space="preserve"> </w:t>
      </w:r>
      <w:proofErr w:type="spellStart"/>
      <w:r>
        <w:t>Jpřístup</w:t>
      </w:r>
      <w:proofErr w:type="spellEnd"/>
      <w:r>
        <w:t xml:space="preserve"> 2013-11-08]; </w:t>
      </w:r>
      <w:r>
        <w:rPr>
          <w:smallCaps/>
        </w:rPr>
        <w:t>Císař,</w:t>
      </w:r>
      <w:r>
        <w:t xml:space="preserve"> Jaroslav. „Vydávání knih v ČR v roce 2013 (část 1)“, </w:t>
      </w:r>
      <w:proofErr w:type="spellStart"/>
      <w:r>
        <w:rPr>
          <w:i/>
          <w:iCs/>
        </w:rPr>
        <w:t>Riblio</w:t>
      </w:r>
      <w:proofErr w:type="spellEnd"/>
      <w:r>
        <w:rPr>
          <w:i/>
          <w:iCs/>
        </w:rPr>
        <w:t>,</w:t>
      </w:r>
      <w:r>
        <w:t xml:space="preserve"> příloha </w:t>
      </w:r>
      <w:r>
        <w:rPr>
          <w:i/>
          <w:iCs/>
        </w:rPr>
        <w:t>Literárních novin</w:t>
      </w:r>
      <w:r>
        <w:t xml:space="preserve"> 2 (7), březen 2014, s. 16-18; </w:t>
      </w:r>
      <w:r>
        <w:rPr>
          <w:smallCaps/>
        </w:rPr>
        <w:t>týž.</w:t>
      </w:r>
      <w:r>
        <w:t xml:space="preserve"> „Vydávání knih v ČR v roce 2013 (část 2)“, </w:t>
      </w:r>
      <w:proofErr w:type="spellStart"/>
      <w:r>
        <w:rPr>
          <w:i/>
          <w:iCs/>
        </w:rPr>
        <w:t>Riblio</w:t>
      </w:r>
      <w:proofErr w:type="spellEnd"/>
      <w:r>
        <w:rPr>
          <w:i/>
          <w:iCs/>
        </w:rPr>
        <w:t>,</w:t>
      </w:r>
      <w:r>
        <w:t xml:space="preserve"> příloha </w:t>
      </w:r>
      <w:r>
        <w:rPr>
          <w:i/>
          <w:iCs/>
        </w:rPr>
        <w:t>Literárních novin 2</w:t>
      </w:r>
      <w:r>
        <w:t xml:space="preserve"> (7), duben 2014, s. 8-9.</w:t>
      </w:r>
    </w:p>
    <w:p w14:paraId="24393AEE" w14:textId="77777777" w:rsidR="00845B18" w:rsidRDefault="00000000">
      <w:pPr>
        <w:spacing w:line="14" w:lineRule="exact"/>
        <w:sectPr w:rsidR="00845B18">
          <w:pgSz w:w="8400" w:h="11900"/>
          <w:pgMar w:top="360" w:right="360" w:bottom="360" w:left="360" w:header="0" w:footer="3" w:gutter="0"/>
          <w:cols w:space="720"/>
          <w:noEndnote/>
          <w:docGrid w:linePitch="360"/>
        </w:sectPr>
      </w:pPr>
      <w:r>
        <w:rPr>
          <w:rFonts w:ascii="Times New Roman" w:eastAsia="Times New Roman" w:hAnsi="Times New Roman" w:cs="Times New Roman"/>
          <w:noProof/>
          <w:sz w:val="15"/>
          <w:szCs w:val="15"/>
        </w:rPr>
        <w:drawing>
          <wp:anchor distT="0" distB="0" distL="0" distR="0" simplePos="0" relativeHeight="251665408" behindDoc="1" locked="0" layoutInCell="1" allowOverlap="1" wp14:anchorId="05234AFE" wp14:editId="36009544">
            <wp:simplePos x="0" y="0"/>
            <wp:positionH relativeFrom="page">
              <wp:posOffset>635635</wp:posOffset>
            </wp:positionH>
            <wp:positionV relativeFrom="page">
              <wp:posOffset>2645410</wp:posOffset>
            </wp:positionV>
            <wp:extent cx="3651250" cy="1182370"/>
            <wp:effectExtent l="0" t="0" r="0" b="0"/>
            <wp:wrapNone/>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21"/>
                    <a:stretch/>
                  </pic:blipFill>
                  <pic:spPr>
                    <a:xfrm>
                      <a:off x="0" y="0"/>
                      <a:ext cx="3651250" cy="1182370"/>
                    </a:xfrm>
                    <a:prstGeom prst="rect">
                      <a:avLst/>
                    </a:prstGeom>
                  </pic:spPr>
                </pic:pic>
              </a:graphicData>
            </a:graphic>
          </wp:anchor>
        </w:drawing>
      </w:r>
    </w:p>
    <w:p w14:paraId="42967EFF" w14:textId="77777777" w:rsidR="00845B18" w:rsidRDefault="00845B18">
      <w:pPr>
        <w:spacing w:line="14" w:lineRule="exact"/>
      </w:pPr>
    </w:p>
    <w:p w14:paraId="2292E1DE" w14:textId="77777777" w:rsidR="00845B18" w:rsidRDefault="00000000">
      <w:pPr>
        <w:pStyle w:val="Zkladntext70"/>
        <w:framePr w:w="6965" w:h="4469" w:hRule="exact" w:wrap="none" w:vAnchor="page" w:hAnchor="page" w:x="1019" w:y="144"/>
        <w:shd w:val="clear" w:color="auto" w:fill="auto"/>
        <w:spacing w:line="257" w:lineRule="auto"/>
        <w:ind w:left="0"/>
        <w:jc w:val="center"/>
        <w:rPr>
          <w:sz w:val="18"/>
          <w:szCs w:val="18"/>
        </w:rPr>
      </w:pPr>
      <w:r>
        <w:rPr>
          <w:lang w:val="fr-FR" w:eastAsia="fr-FR" w:bidi="fr-FR"/>
        </w:rPr>
        <w:t xml:space="preserve">JAROSLAV </w:t>
      </w:r>
      <w:proofErr w:type="spellStart"/>
      <w:r>
        <w:t>ClSAŘ</w:t>
      </w:r>
      <w:proofErr w:type="spellEnd"/>
      <w:r>
        <w:t>, ŠÉFREDAKTOR</w:t>
      </w:r>
      <w:r>
        <w:br/>
        <w:t xml:space="preserve">KNIŽNÍ </w:t>
      </w:r>
      <w:r>
        <w:rPr>
          <w:b w:val="0"/>
          <w:bCs w:val="0"/>
          <w:smallCaps/>
          <w:sz w:val="18"/>
          <w:szCs w:val="18"/>
        </w:rPr>
        <w:t xml:space="preserve">přílohy </w:t>
      </w:r>
      <w:r>
        <w:rPr>
          <w:b w:val="0"/>
          <w:bCs w:val="0"/>
          <w:i/>
          <w:iCs/>
          <w:smallCaps/>
          <w:sz w:val="18"/>
          <w:szCs w:val="18"/>
        </w:rPr>
        <w:t xml:space="preserve">literárních novin </w:t>
      </w:r>
      <w:proofErr w:type="spellStart"/>
      <w:r>
        <w:rPr>
          <w:b w:val="0"/>
          <w:bCs w:val="0"/>
          <w:i/>
          <w:iCs/>
          <w:smallCaps/>
          <w:sz w:val="18"/>
          <w:szCs w:val="18"/>
        </w:rPr>
        <w:t>biblio</w:t>
      </w:r>
      <w:proofErr w:type="spellEnd"/>
    </w:p>
    <w:p w14:paraId="77EFC455" w14:textId="77777777" w:rsidR="00845B18" w:rsidRDefault="00000000">
      <w:pPr>
        <w:pStyle w:val="Zkladntext20"/>
        <w:framePr w:w="6965" w:h="4469" w:hRule="exact" w:wrap="none" w:vAnchor="page" w:hAnchor="page" w:x="1019" w:y="144"/>
        <w:numPr>
          <w:ilvl w:val="0"/>
          <w:numId w:val="4"/>
        </w:numPr>
        <w:shd w:val="clear" w:color="auto" w:fill="auto"/>
        <w:tabs>
          <w:tab w:val="left" w:pos="274"/>
        </w:tabs>
        <w:spacing w:after="140" w:line="290" w:lineRule="auto"/>
        <w:rPr>
          <w:sz w:val="18"/>
          <w:szCs w:val="18"/>
        </w:rPr>
      </w:pPr>
      <w:r>
        <w:rPr>
          <w:sz w:val="18"/>
          <w:szCs w:val="18"/>
        </w:rPr>
        <w:t>Napjatá atmosféra a tvrdý konkurenční boj, které zdánlivě nejsou vidět. Řada malých knihkupeckých firem zřejmě skončí, protože nemohou odolat tlaku silné konkurence. Momentálně je vše překryto slušnými prodeji, které jsou i důsledkem toho, že se na pulty dostávají globální bestsellery. Ovšem slevám nabízeným zásilkovými službami nemohou malí knihkupci příliš odolávat. Bohužel stále přetrvává jisté pokrytectví: navenek dekla</w:t>
      </w:r>
      <w:r>
        <w:rPr>
          <w:sz w:val="18"/>
          <w:szCs w:val="18"/>
        </w:rPr>
        <w:softHyphen/>
        <w:t>rované hroucení z relativně vysoké DPH na knihy a jejich cen, z drastického poklesu u prodejů apod., ale mezi čtyřma očima potvrzení, že ten pokles není tak dramatický a že prodeje knih nejsou zase tak nízké. S velikostí našeho knižního trhu samozřejmě nelze nic dělat, ale podle mého názoru se stále více rozevírají nůžky mezi knižní nabíd</w:t>
      </w:r>
      <w:r>
        <w:rPr>
          <w:sz w:val="18"/>
          <w:szCs w:val="18"/>
        </w:rPr>
        <w:softHyphen/>
        <w:t>kou v hlavních městských centrech a malých obcích v regionech.</w:t>
      </w:r>
    </w:p>
    <w:p w14:paraId="444BE40B" w14:textId="77777777" w:rsidR="00845B18" w:rsidRDefault="00000000">
      <w:pPr>
        <w:pStyle w:val="Zkladntext20"/>
        <w:framePr w:w="6965" w:h="4469" w:hRule="exact" w:wrap="none" w:vAnchor="page" w:hAnchor="page" w:x="1019" w:y="144"/>
        <w:numPr>
          <w:ilvl w:val="0"/>
          <w:numId w:val="4"/>
        </w:numPr>
        <w:shd w:val="clear" w:color="auto" w:fill="auto"/>
        <w:tabs>
          <w:tab w:val="left" w:pos="265"/>
        </w:tabs>
        <w:spacing w:after="0" w:line="290" w:lineRule="auto"/>
        <w:rPr>
          <w:sz w:val="18"/>
          <w:szCs w:val="18"/>
        </w:rPr>
      </w:pPr>
      <w:r>
        <w:rPr>
          <w:sz w:val="18"/>
          <w:szCs w:val="18"/>
        </w:rPr>
        <w:t>Bezesporu nastane ještě větší rozšíření e-knih a dostupnosti titulové nabídky, ovšem pirátství související s nelegálním šířením e-knih bude velkým problémem v případě ne</w:t>
      </w:r>
      <w:r>
        <w:rPr>
          <w:sz w:val="18"/>
          <w:szCs w:val="18"/>
        </w:rPr>
        <w:softHyphen/>
        <w:t xml:space="preserve">dostatečně legislativně „ošetřené“ nabídky veřejných knihoven, která může až existenčně ohrozit mnohé vydavatele. Nemyslím </w:t>
      </w:r>
      <w:r>
        <w:rPr>
          <w:sz w:val="18"/>
          <w:szCs w:val="18"/>
          <w:lang w:val="fr-FR" w:eastAsia="fr-FR" w:bidi="fr-FR"/>
        </w:rPr>
        <w:t xml:space="preserve">si </w:t>
      </w:r>
      <w:r>
        <w:rPr>
          <w:sz w:val="18"/>
          <w:szCs w:val="18"/>
        </w:rPr>
        <w:t>ovšem, že e-knihy vytlačí nutně klasickou tiště</w:t>
      </w:r>
      <w:r>
        <w:rPr>
          <w:sz w:val="18"/>
          <w:szCs w:val="18"/>
        </w:rPr>
        <w:softHyphen/>
        <w:t>nou knihu ve všech žánrových elementech.</w:t>
      </w:r>
    </w:p>
    <w:p w14:paraId="2E785AE1" w14:textId="77777777" w:rsidR="00845B18" w:rsidRDefault="00000000">
      <w:pPr>
        <w:pStyle w:val="Zkladntext70"/>
        <w:framePr w:w="6965" w:h="5477" w:hRule="exact" w:wrap="none" w:vAnchor="page" w:hAnchor="page" w:x="1019" w:y="4925"/>
        <w:shd w:val="clear" w:color="auto" w:fill="auto"/>
        <w:spacing w:line="300" w:lineRule="auto"/>
        <w:ind w:left="0"/>
        <w:jc w:val="center"/>
      </w:pPr>
      <w:r>
        <w:t>TOMÁŠ GEC, ŘEDITEL MORAVSKÉ ZEMSKÉ KNIHOVNY</w:t>
      </w:r>
      <w:r>
        <w:rPr>
          <w:vertAlign w:val="superscript"/>
        </w:rPr>
        <w:t>3</w:t>
      </w:r>
      <w:r>
        <w:t>’</w:t>
      </w:r>
    </w:p>
    <w:p w14:paraId="5A433E42" w14:textId="77777777" w:rsidR="00845B18" w:rsidRDefault="00000000">
      <w:pPr>
        <w:pStyle w:val="Zkladntext20"/>
        <w:framePr w:w="6965" w:h="5477" w:hRule="exact" w:wrap="none" w:vAnchor="page" w:hAnchor="page" w:x="1019" w:y="4925"/>
        <w:numPr>
          <w:ilvl w:val="0"/>
          <w:numId w:val="5"/>
        </w:numPr>
        <w:shd w:val="clear" w:color="auto" w:fill="auto"/>
        <w:tabs>
          <w:tab w:val="left" w:pos="274"/>
        </w:tabs>
        <w:spacing w:after="140" w:line="290" w:lineRule="auto"/>
        <w:rPr>
          <w:sz w:val="18"/>
          <w:szCs w:val="18"/>
        </w:rPr>
      </w:pPr>
      <w:r>
        <w:rPr>
          <w:sz w:val="18"/>
          <w:szCs w:val="18"/>
        </w:rPr>
        <w:t>Na trhu rozhoduje několik velkých hráčů, ale zatím není tak koncentrován jako na Západě, což je, myslím, dobře. Knihy stále vycházejí a nezbývá než doufat, že sazba DPH klesne na úroveň jiných vyspělých evropských zemí — tady věřím ve změnu k lepšímu.</w:t>
      </w:r>
    </w:p>
    <w:p w14:paraId="60B83F9E" w14:textId="77777777" w:rsidR="00845B18" w:rsidRDefault="00000000">
      <w:pPr>
        <w:pStyle w:val="Zkladntext20"/>
        <w:framePr w:w="6965" w:h="5477" w:hRule="exact" w:wrap="none" w:vAnchor="page" w:hAnchor="page" w:x="1019" w:y="4925"/>
        <w:numPr>
          <w:ilvl w:val="0"/>
          <w:numId w:val="5"/>
        </w:numPr>
        <w:shd w:val="clear" w:color="auto" w:fill="auto"/>
        <w:tabs>
          <w:tab w:val="left" w:pos="274"/>
        </w:tabs>
        <w:spacing w:after="340" w:line="290" w:lineRule="auto"/>
        <w:rPr>
          <w:sz w:val="18"/>
          <w:szCs w:val="18"/>
        </w:rPr>
      </w:pPr>
      <w:r>
        <w:rPr>
          <w:sz w:val="18"/>
          <w:szCs w:val="18"/>
        </w:rPr>
        <w:t>Postupně se prosazují e-knihy a bude zajímavé sledovat, jakou část trhu v zemi s ma</w:t>
      </w:r>
      <w:r>
        <w:rPr>
          <w:sz w:val="18"/>
          <w:szCs w:val="18"/>
        </w:rPr>
        <w:softHyphen/>
        <w:t>lým trhem nakonec zaberou. Otázkou je, jak se ministerstvo školství postaví k elektro</w:t>
      </w:r>
      <w:r>
        <w:rPr>
          <w:sz w:val="18"/>
          <w:szCs w:val="18"/>
        </w:rPr>
        <w:softHyphen/>
        <w:t>nickým učebnicím, což je klíčová věc pro budoucnost vzdělávání u nás. Zajímavé bude sledovat, zda se podaří prosadit změnu autorského zákona již dojednanou zástupci na</w:t>
      </w:r>
      <w:r>
        <w:rPr>
          <w:sz w:val="18"/>
          <w:szCs w:val="18"/>
        </w:rPr>
        <w:softHyphen/>
        <w:t xml:space="preserve">kladatelů, knihoven a </w:t>
      </w:r>
      <w:proofErr w:type="spellStart"/>
      <w:r>
        <w:rPr>
          <w:sz w:val="18"/>
          <w:szCs w:val="18"/>
        </w:rPr>
        <w:t>Dilie</w:t>
      </w:r>
      <w:proofErr w:type="spellEnd"/>
      <w:r>
        <w:rPr>
          <w:sz w:val="18"/>
          <w:szCs w:val="18"/>
        </w:rPr>
        <w:t xml:space="preserve">, který by dokázal v knihovnách zpřístupnit veškerou </w:t>
      </w:r>
      <w:proofErr w:type="spellStart"/>
      <w:proofErr w:type="gramStart"/>
      <w:r>
        <w:rPr>
          <w:sz w:val="18"/>
          <w:szCs w:val="18"/>
        </w:rPr>
        <w:t>zdigita</w:t>
      </w:r>
      <w:proofErr w:type="spellEnd"/>
      <w:r>
        <w:rPr>
          <w:sz w:val="18"/>
          <w:szCs w:val="18"/>
        </w:rPr>
        <w:t xml:space="preserve">- </w:t>
      </w:r>
      <w:proofErr w:type="spellStart"/>
      <w:r>
        <w:rPr>
          <w:sz w:val="18"/>
          <w:szCs w:val="18"/>
        </w:rPr>
        <w:t>lizovanou</w:t>
      </w:r>
      <w:proofErr w:type="spellEnd"/>
      <w:proofErr w:type="gramEnd"/>
      <w:r>
        <w:rPr>
          <w:sz w:val="18"/>
          <w:szCs w:val="18"/>
        </w:rPr>
        <w:t xml:space="preserve"> </w:t>
      </w:r>
      <w:r>
        <w:rPr>
          <w:i/>
          <w:iCs/>
          <w:sz w:val="18"/>
          <w:szCs w:val="18"/>
        </w:rPr>
        <w:t>out-</w:t>
      </w:r>
      <w:proofErr w:type="spellStart"/>
      <w:r>
        <w:rPr>
          <w:i/>
          <w:iCs/>
          <w:sz w:val="18"/>
          <w:szCs w:val="18"/>
        </w:rPr>
        <w:t>of</w:t>
      </w:r>
      <w:proofErr w:type="spellEnd"/>
      <w:r>
        <w:rPr>
          <w:i/>
          <w:iCs/>
          <w:sz w:val="18"/>
          <w:szCs w:val="18"/>
        </w:rPr>
        <w:t>-</w:t>
      </w:r>
      <w:proofErr w:type="spellStart"/>
      <w:r>
        <w:rPr>
          <w:i/>
          <w:iCs/>
          <w:sz w:val="18"/>
          <w:szCs w:val="18"/>
        </w:rPr>
        <w:t>print</w:t>
      </w:r>
      <w:proofErr w:type="spellEnd"/>
      <w:r>
        <w:rPr>
          <w:sz w:val="18"/>
          <w:szCs w:val="18"/>
        </w:rPr>
        <w:t xml:space="preserve"> produkci. Zákon zatím nebyl předložen, ale pokud bude schválen, zásadně změní dostupnost dřívější knižní produkce.</w:t>
      </w:r>
    </w:p>
    <w:p w14:paraId="176D81D8" w14:textId="77777777" w:rsidR="00845B18" w:rsidRDefault="00000000">
      <w:pPr>
        <w:pStyle w:val="Zkladntext70"/>
        <w:framePr w:w="6965" w:h="5477" w:hRule="exact" w:wrap="none" w:vAnchor="page" w:hAnchor="page" w:x="1019" w:y="4925"/>
        <w:shd w:val="clear" w:color="auto" w:fill="auto"/>
        <w:spacing w:line="300" w:lineRule="auto"/>
        <w:ind w:left="0"/>
        <w:jc w:val="center"/>
      </w:pPr>
      <w:r>
        <w:t>JINDŘICH JŮZL, ŠÉFREDAKTOR</w:t>
      </w:r>
      <w:r>
        <w:br/>
        <w:t>NAKLADATELSTVÍ ODEON (EUROMEDIA GROUP)</w:t>
      </w:r>
    </w:p>
    <w:p w14:paraId="5F1AEF18" w14:textId="77777777" w:rsidR="00845B18" w:rsidRDefault="00000000">
      <w:pPr>
        <w:pStyle w:val="Zkladntext20"/>
        <w:framePr w:w="6965" w:h="5477" w:hRule="exact" w:wrap="none" w:vAnchor="page" w:hAnchor="page" w:x="1019" w:y="4925"/>
        <w:numPr>
          <w:ilvl w:val="0"/>
          <w:numId w:val="6"/>
        </w:numPr>
        <w:shd w:val="clear" w:color="auto" w:fill="auto"/>
        <w:tabs>
          <w:tab w:val="left" w:pos="274"/>
        </w:tabs>
        <w:spacing w:after="0" w:line="290" w:lineRule="auto"/>
        <w:rPr>
          <w:sz w:val="18"/>
          <w:szCs w:val="18"/>
        </w:rPr>
      </w:pPr>
      <w:r>
        <w:rPr>
          <w:sz w:val="18"/>
          <w:szCs w:val="18"/>
        </w:rPr>
        <w:t xml:space="preserve">Trh vnímám jako stabilizovaný, koncentrovaný. I přes tvrdou konkurenci nakladatelé nekrachují, majitelé firem se </w:t>
      </w:r>
      <w:proofErr w:type="spellStart"/>
      <w:r>
        <w:rPr>
          <w:sz w:val="18"/>
          <w:szCs w:val="18"/>
        </w:rPr>
        <w:t>neméní</w:t>
      </w:r>
      <w:proofErr w:type="spellEnd"/>
      <w:r>
        <w:rPr>
          <w:sz w:val="18"/>
          <w:szCs w:val="18"/>
        </w:rPr>
        <w:t xml:space="preserve"> (akvizice z posledních let jsou výjimky), počet vy</w:t>
      </w:r>
      <w:r>
        <w:rPr>
          <w:sz w:val="18"/>
          <w:szCs w:val="18"/>
        </w:rPr>
        <w:softHyphen/>
        <w:t>daných titulů se ustálil (tj. oproti minulým obdobím klesl). Existuje široká nabídka pře</w:t>
      </w:r>
      <w:r>
        <w:rPr>
          <w:sz w:val="18"/>
          <w:szCs w:val="18"/>
        </w:rPr>
        <w:softHyphen/>
        <w:t>kladových titulů. Zlepšily se šance pro začínající autory. Fungují distribuce, knihkupectví se udržela. Zdomácněly nové trendy: nákup knih přes internet, e-knihy. Vzrostla prů</w:t>
      </w:r>
      <w:r>
        <w:rPr>
          <w:sz w:val="18"/>
          <w:szCs w:val="18"/>
        </w:rPr>
        <w:softHyphen/>
        <w:t>měrná cena knihy kvůli sazbě DPH, což je negativum pro nákup, větší roli začaly hrát</w:t>
      </w:r>
    </w:p>
    <w:p w14:paraId="27534B54" w14:textId="77777777" w:rsidR="00845B18" w:rsidRDefault="00000000">
      <w:pPr>
        <w:pStyle w:val="Poznmkapodarou0"/>
        <w:framePr w:wrap="none" w:vAnchor="page" w:hAnchor="page" w:x="1072" w:y="10834"/>
        <w:shd w:val="clear" w:color="auto" w:fill="auto"/>
        <w:spacing w:line="240" w:lineRule="auto"/>
        <w:ind w:left="0" w:firstLine="0"/>
        <w:jc w:val="left"/>
      </w:pPr>
      <w:r>
        <w:rPr>
          <w:sz w:val="14"/>
          <w:szCs w:val="14"/>
        </w:rPr>
        <w:t xml:space="preserve">3) </w:t>
      </w:r>
      <w:r>
        <w:t>Do 31. 8. 2014</w:t>
      </w:r>
    </w:p>
    <w:p w14:paraId="417DA6AA" w14:textId="77777777" w:rsidR="00845B18" w:rsidRDefault="00845B18">
      <w:pPr>
        <w:spacing w:line="14" w:lineRule="exact"/>
        <w:sectPr w:rsidR="00845B18">
          <w:pgSz w:w="8400" w:h="11900"/>
          <w:pgMar w:top="360" w:right="360" w:bottom="360" w:left="360" w:header="0" w:footer="3" w:gutter="0"/>
          <w:cols w:space="720"/>
          <w:noEndnote/>
          <w:docGrid w:linePitch="360"/>
        </w:sectPr>
      </w:pPr>
    </w:p>
    <w:p w14:paraId="0C6F96BC" w14:textId="77777777" w:rsidR="00845B18" w:rsidRDefault="00845B18">
      <w:pPr>
        <w:spacing w:line="14" w:lineRule="exact"/>
      </w:pPr>
    </w:p>
    <w:p w14:paraId="2FF66F02" w14:textId="77777777" w:rsidR="00845B18" w:rsidRDefault="00000000">
      <w:pPr>
        <w:pStyle w:val="Zkladntext20"/>
        <w:framePr w:w="6950" w:h="5698" w:hRule="exact" w:wrap="none" w:vAnchor="page" w:hAnchor="page" w:x="425" w:y="115"/>
        <w:shd w:val="clear" w:color="auto" w:fill="auto"/>
        <w:spacing w:after="120" w:line="307" w:lineRule="auto"/>
        <w:rPr>
          <w:sz w:val="17"/>
          <w:szCs w:val="17"/>
        </w:rPr>
      </w:pPr>
      <w:r>
        <w:rPr>
          <w:sz w:val="17"/>
          <w:szCs w:val="17"/>
        </w:rPr>
        <w:t xml:space="preserve">1 </w:t>
      </w:r>
      <w:proofErr w:type="spellStart"/>
      <w:r>
        <w:rPr>
          <w:sz w:val="17"/>
          <w:szCs w:val="17"/>
        </w:rPr>
        <w:t>nllmviiy</w:t>
      </w:r>
      <w:proofErr w:type="spellEnd"/>
      <w:r>
        <w:rPr>
          <w:sz w:val="17"/>
          <w:szCs w:val="17"/>
        </w:rPr>
        <w:t xml:space="preserve">. Jako negativum </w:t>
      </w:r>
      <w:proofErr w:type="spellStart"/>
      <w:r>
        <w:rPr>
          <w:sz w:val="17"/>
          <w:szCs w:val="17"/>
        </w:rPr>
        <w:t>hodnnlliu</w:t>
      </w:r>
      <w:proofErr w:type="spellEnd"/>
      <w:r>
        <w:rPr>
          <w:sz w:val="17"/>
          <w:szCs w:val="17"/>
        </w:rPr>
        <w:t xml:space="preserve"> zadluženost </w:t>
      </w:r>
      <w:proofErr w:type="spellStart"/>
      <w:r>
        <w:rPr>
          <w:sz w:val="17"/>
          <w:szCs w:val="17"/>
        </w:rPr>
        <w:t>lírem</w:t>
      </w:r>
      <w:proofErr w:type="spellEnd"/>
      <w:r>
        <w:rPr>
          <w:sz w:val="17"/>
          <w:szCs w:val="17"/>
        </w:rPr>
        <w:t xml:space="preserve">, neschopnost platil pohledávky, </w:t>
      </w:r>
      <w:proofErr w:type="spellStart"/>
      <w:proofErr w:type="gramStart"/>
      <w:r>
        <w:rPr>
          <w:sz w:val="17"/>
          <w:szCs w:val="17"/>
        </w:rPr>
        <w:t>iisl.ilení</w:t>
      </w:r>
      <w:proofErr w:type="spellEnd"/>
      <w:proofErr w:type="gramEnd"/>
      <w:r>
        <w:rPr>
          <w:sz w:val="17"/>
          <w:szCs w:val="17"/>
        </w:rPr>
        <w:t xml:space="preserve"> modelu „každý někomu dluž!" jako standard.</w:t>
      </w:r>
    </w:p>
    <w:p w14:paraId="1C0D68DC" w14:textId="77777777" w:rsidR="00845B18" w:rsidRDefault="00000000">
      <w:pPr>
        <w:pStyle w:val="Zkladntext20"/>
        <w:framePr w:w="6950" w:h="5698" w:hRule="exact" w:wrap="none" w:vAnchor="page" w:hAnchor="page" w:x="425" w:y="115"/>
        <w:shd w:val="clear" w:color="auto" w:fill="auto"/>
        <w:spacing w:after="340" w:line="295" w:lineRule="auto"/>
        <w:rPr>
          <w:sz w:val="18"/>
          <w:szCs w:val="18"/>
        </w:rPr>
      </w:pPr>
      <w:r>
        <w:rPr>
          <w:sz w:val="18"/>
          <w:szCs w:val="18"/>
        </w:rPr>
        <w:t xml:space="preserve">? Po překonání krize dojde k mírnému zlepšení. Neměl by se zvyšovat počet vydaných titulů. Možná dojde ke snížení DPH. Dražší publikace budou nadále na ústupu. </w:t>
      </w:r>
      <w:proofErr w:type="spellStart"/>
      <w:r>
        <w:rPr>
          <w:sz w:val="18"/>
          <w:szCs w:val="18"/>
        </w:rPr>
        <w:t>Vzros</w:t>
      </w:r>
      <w:r>
        <w:rPr>
          <w:sz w:val="18"/>
          <w:szCs w:val="18"/>
        </w:rPr>
        <w:softHyphen/>
        <w:t>ti</w:t>
      </w:r>
      <w:proofErr w:type="spellEnd"/>
      <w:r>
        <w:rPr>
          <w:sz w:val="18"/>
          <w:szCs w:val="18"/>
        </w:rPr>
        <w:t xml:space="preserve"> </w:t>
      </w:r>
      <w:proofErr w:type="spellStart"/>
      <w:r>
        <w:rPr>
          <w:sz w:val="18"/>
          <w:szCs w:val="18"/>
        </w:rPr>
        <w:t>pmdejní</w:t>
      </w:r>
      <w:proofErr w:type="spellEnd"/>
      <w:r>
        <w:rPr>
          <w:sz w:val="18"/>
          <w:szCs w:val="18"/>
        </w:rPr>
        <w:t xml:space="preserve"> význam c-knih, jejich podíl bude stoupat pomalu. Pravděpodobně se objeví </w:t>
      </w:r>
      <w:r>
        <w:rPr>
          <w:sz w:val="17"/>
          <w:szCs w:val="17"/>
        </w:rPr>
        <w:t xml:space="preserve">linul </w:t>
      </w:r>
      <w:proofErr w:type="spellStart"/>
      <w:r>
        <w:rPr>
          <w:i/>
          <w:iCs/>
          <w:sz w:val="18"/>
          <w:szCs w:val="18"/>
        </w:rPr>
        <w:t>self-publishing</w:t>
      </w:r>
      <w:proofErr w:type="spellEnd"/>
      <w:r>
        <w:rPr>
          <w:i/>
          <w:iCs/>
          <w:sz w:val="18"/>
          <w:szCs w:val="18"/>
        </w:rPr>
        <w:t>.</w:t>
      </w:r>
      <w:r>
        <w:rPr>
          <w:sz w:val="18"/>
          <w:szCs w:val="18"/>
        </w:rPr>
        <w:t xml:space="preserve"> Vznik nových větších firem je nereálný, může ale dojít k dalšímu </w:t>
      </w:r>
      <w:proofErr w:type="spellStart"/>
      <w:r>
        <w:rPr>
          <w:sz w:val="18"/>
          <w:szCs w:val="18"/>
        </w:rPr>
        <w:t>pojování</w:t>
      </w:r>
      <w:proofErr w:type="spellEnd"/>
      <w:r>
        <w:rPr>
          <w:sz w:val="18"/>
          <w:szCs w:val="18"/>
        </w:rPr>
        <w:t xml:space="preserve"> (nakladatel a distribuce) či k akvizicím (nakladatel, e-distributor).</w:t>
      </w:r>
    </w:p>
    <w:p w14:paraId="497C7E30" w14:textId="77777777" w:rsidR="00845B18" w:rsidRDefault="00000000">
      <w:pPr>
        <w:pStyle w:val="Zkladntext70"/>
        <w:framePr w:w="6950" w:h="5698" w:hRule="exact" w:wrap="none" w:vAnchor="page" w:hAnchor="page" w:x="425" w:y="115"/>
        <w:shd w:val="clear" w:color="auto" w:fill="auto"/>
        <w:spacing w:after="120" w:line="300" w:lineRule="auto"/>
        <w:ind w:left="0"/>
        <w:jc w:val="center"/>
      </w:pPr>
      <w:r>
        <w:t xml:space="preserve">EVA KAISEROVÁ, MAJITELKA NAKLADATELSTVÍ </w:t>
      </w:r>
      <w:r>
        <w:rPr>
          <w:lang w:val="fr-FR" w:eastAsia="fr-FR" w:bidi="fr-FR"/>
        </w:rPr>
        <w:t>JONATHAN</w:t>
      </w:r>
      <w:r>
        <w:rPr>
          <w:lang w:val="fr-FR" w:eastAsia="fr-FR" w:bidi="fr-FR"/>
        </w:rPr>
        <w:br/>
        <w:t xml:space="preserve">LIVINGSTON, </w:t>
      </w:r>
      <w:r>
        <w:t>ŘEDITELKA NAKLADATELSTVÍ FORTUNA LIBRI</w:t>
      </w:r>
    </w:p>
    <w:p w14:paraId="4801CF1A" w14:textId="77777777" w:rsidR="00845B18" w:rsidRDefault="00000000">
      <w:pPr>
        <w:pStyle w:val="Zkladntext20"/>
        <w:framePr w:w="6950" w:h="5698" w:hRule="exact" w:wrap="none" w:vAnchor="page" w:hAnchor="page" w:x="425" w:y="115"/>
        <w:shd w:val="clear" w:color="auto" w:fill="auto"/>
        <w:spacing w:after="120" w:line="290" w:lineRule="auto"/>
        <w:rPr>
          <w:sz w:val="18"/>
          <w:szCs w:val="18"/>
        </w:rPr>
      </w:pPr>
      <w:r>
        <w:rPr>
          <w:sz w:val="18"/>
          <w:szCs w:val="18"/>
        </w:rPr>
        <w:t xml:space="preserve">I 1'iecpaný. (Špatně?) Čtenář je dezorientovaný. Už několik let čekám, kdy se sníží počet </w:t>
      </w:r>
      <w:proofErr w:type="spellStart"/>
      <w:proofErr w:type="gramStart"/>
      <w:r>
        <w:rPr>
          <w:sz w:val="18"/>
          <w:szCs w:val="18"/>
          <w:lang w:val="fr-FR" w:eastAsia="fr-FR" w:bidi="fr-FR"/>
        </w:rPr>
        <w:t>a,J</w:t>
      </w:r>
      <w:proofErr w:type="spellEnd"/>
      <w:proofErr w:type="gramEnd"/>
      <w:r>
        <w:rPr>
          <w:sz w:val="18"/>
          <w:szCs w:val="18"/>
          <w:lang w:val="fr-FR" w:eastAsia="fr-FR" w:bidi="fr-FR"/>
        </w:rPr>
        <w:t xml:space="preserve"> </w:t>
      </w:r>
      <w:proofErr w:type="spellStart"/>
      <w:r>
        <w:rPr>
          <w:sz w:val="18"/>
          <w:szCs w:val="18"/>
        </w:rPr>
        <w:t>ladatelů</w:t>
      </w:r>
      <w:proofErr w:type="spellEnd"/>
      <w:r>
        <w:rPr>
          <w:sz w:val="18"/>
          <w:szCs w:val="18"/>
        </w:rPr>
        <w:t>. Ale vydávat knihy je tak snadné! (Dobře?) Jakákoliv umělá brzda je nesmysl, h dmou možnou regulaci mají v rukou tiskárny. Dokud budou trpělivě čekat, zda jim nakladatelé zaplatí, situace se nezmění. Ke konci devadesátých let v naší branži chyběl |i den roční obrat, nedokážu odhadnout, kolik je to teď.</w:t>
      </w:r>
    </w:p>
    <w:p w14:paraId="08730638" w14:textId="77777777" w:rsidR="00845B18" w:rsidRDefault="00000000">
      <w:pPr>
        <w:pStyle w:val="Zkladntext20"/>
        <w:framePr w:w="6950" w:h="5698" w:hRule="exact" w:wrap="none" w:vAnchor="page" w:hAnchor="page" w:x="425" w:y="115"/>
        <w:shd w:val="clear" w:color="auto" w:fill="auto"/>
        <w:spacing w:after="0" w:line="305" w:lineRule="auto"/>
        <w:rPr>
          <w:sz w:val="18"/>
          <w:szCs w:val="18"/>
        </w:rPr>
      </w:pPr>
      <w:r>
        <w:rPr>
          <w:sz w:val="18"/>
          <w:szCs w:val="18"/>
        </w:rPr>
        <w:t xml:space="preserve">.' Moje vize: přežije pár silných a pak „jiní“, kteří se dokážou odlišit nebo </w:t>
      </w:r>
      <w:r>
        <w:rPr>
          <w:sz w:val="18"/>
          <w:szCs w:val="18"/>
          <w:lang w:val="fr-FR" w:eastAsia="fr-FR" w:bidi="fr-FR"/>
        </w:rPr>
        <w:t xml:space="preserve">si </w:t>
      </w:r>
      <w:r>
        <w:rPr>
          <w:sz w:val="18"/>
          <w:szCs w:val="18"/>
        </w:rPr>
        <w:t xml:space="preserve">sehnat peníze mimo. Čtivo se přemístí do čteček. Na trhu bude umírněné množství běžných </w:t>
      </w:r>
      <w:proofErr w:type="spellStart"/>
      <w:proofErr w:type="gramStart"/>
      <w:r>
        <w:rPr>
          <w:sz w:val="18"/>
          <w:szCs w:val="18"/>
        </w:rPr>
        <w:t>papíro</w:t>
      </w:r>
      <w:proofErr w:type="spellEnd"/>
      <w:r>
        <w:rPr>
          <w:sz w:val="18"/>
          <w:szCs w:val="18"/>
        </w:rPr>
        <w:t xml:space="preserve">- </w:t>
      </w:r>
      <w:proofErr w:type="spellStart"/>
      <w:r>
        <w:rPr>
          <w:sz w:val="18"/>
          <w:szCs w:val="18"/>
        </w:rPr>
        <w:t>výcli</w:t>
      </w:r>
      <w:proofErr w:type="spellEnd"/>
      <w:proofErr w:type="gramEnd"/>
      <w:r>
        <w:rPr>
          <w:sz w:val="18"/>
          <w:szCs w:val="18"/>
        </w:rPr>
        <w:t xml:space="preserve"> knih a hezky provedená dárková, případně sběratelská vydání (nemluvím o kvalitě </w:t>
      </w:r>
      <w:proofErr w:type="spellStart"/>
      <w:r>
        <w:rPr>
          <w:rFonts w:ascii="Arial" w:eastAsia="Arial" w:hAnsi="Arial" w:cs="Arial"/>
          <w:sz w:val="13"/>
          <w:szCs w:val="13"/>
        </w:rPr>
        <w:t>li</w:t>
      </w:r>
      <w:proofErr w:type="spellEnd"/>
      <w:r>
        <w:rPr>
          <w:rFonts w:ascii="Arial" w:eastAsia="Arial" w:hAnsi="Arial" w:cs="Arial"/>
          <w:sz w:val="13"/>
          <w:szCs w:val="13"/>
        </w:rPr>
        <w:t>• \</w:t>
      </w:r>
      <w:proofErr w:type="spellStart"/>
      <w:r>
        <w:rPr>
          <w:rFonts w:ascii="Arial" w:eastAsia="Arial" w:hAnsi="Arial" w:cs="Arial"/>
          <w:sz w:val="13"/>
          <w:szCs w:val="13"/>
        </w:rPr>
        <w:t>i</w:t>
      </w:r>
      <w:r>
        <w:rPr>
          <w:sz w:val="18"/>
          <w:szCs w:val="18"/>
        </w:rPr>
        <w:t>ii</w:t>
      </w:r>
      <w:proofErr w:type="spellEnd"/>
      <w:r>
        <w:rPr>
          <w:sz w:val="18"/>
          <w:szCs w:val="18"/>
        </w:rPr>
        <w:t xml:space="preserve">, ale provedení!). Kniha bude mít opět CENU! Encyklopedie postupně zmizí, teta Wiki či strýček </w:t>
      </w:r>
      <w:r>
        <w:rPr>
          <w:sz w:val="18"/>
          <w:szCs w:val="18"/>
          <w:lang w:val="fr-FR" w:eastAsia="fr-FR" w:bidi="fr-FR"/>
        </w:rPr>
        <w:t xml:space="preserve">Google </w:t>
      </w:r>
      <w:r>
        <w:rPr>
          <w:sz w:val="18"/>
          <w:szCs w:val="18"/>
        </w:rPr>
        <w:t xml:space="preserve">jsou rychlejší a aktuálnější, leporela a dětské knížky budou aktivně </w:t>
      </w:r>
      <w:proofErr w:type="spellStart"/>
      <w:r>
        <w:rPr>
          <w:sz w:val="18"/>
          <w:szCs w:val="18"/>
        </w:rPr>
        <w:t>piopojeny</w:t>
      </w:r>
      <w:proofErr w:type="spellEnd"/>
      <w:r>
        <w:rPr>
          <w:sz w:val="18"/>
          <w:szCs w:val="18"/>
        </w:rPr>
        <w:t xml:space="preserve"> </w:t>
      </w:r>
      <w:r>
        <w:rPr>
          <w:sz w:val="18"/>
          <w:szCs w:val="18"/>
          <w:lang w:val="fr-FR" w:eastAsia="fr-FR" w:bidi="fr-FR"/>
        </w:rPr>
        <w:t xml:space="preserve">s </w:t>
      </w:r>
      <w:r>
        <w:rPr>
          <w:sz w:val="18"/>
          <w:szCs w:val="18"/>
        </w:rPr>
        <w:t>tabletem. A pak nastane doba, kdy číst PAPÍROVOU KNIHU bude SEXY!</w:t>
      </w:r>
    </w:p>
    <w:p w14:paraId="3FC249CB" w14:textId="77777777" w:rsidR="00845B18" w:rsidRDefault="00000000">
      <w:pPr>
        <w:pStyle w:val="Zkladntext70"/>
        <w:framePr w:w="6950" w:h="4978" w:hRule="exact" w:wrap="none" w:vAnchor="page" w:hAnchor="page" w:x="425" w:y="6101"/>
        <w:shd w:val="clear" w:color="auto" w:fill="auto"/>
        <w:spacing w:after="120" w:line="300" w:lineRule="auto"/>
        <w:ind w:left="0"/>
        <w:jc w:val="center"/>
      </w:pPr>
      <w:r>
        <w:t>DANA KALINOVÁ, ŘEDITELKA</w:t>
      </w:r>
      <w:r>
        <w:br/>
        <w:t>PRAŽSKÉHO VELETRHU SVĚT KNIHY</w:t>
      </w:r>
    </w:p>
    <w:p w14:paraId="1B95B41C" w14:textId="77777777" w:rsidR="00845B18" w:rsidRDefault="00000000">
      <w:pPr>
        <w:pStyle w:val="Zkladntext20"/>
        <w:framePr w:w="6950" w:h="4978" w:hRule="exact" w:wrap="none" w:vAnchor="page" w:hAnchor="page" w:x="425" w:y="6101"/>
        <w:shd w:val="clear" w:color="auto" w:fill="auto"/>
        <w:spacing w:after="120" w:line="293" w:lineRule="auto"/>
        <w:rPr>
          <w:sz w:val="18"/>
          <w:szCs w:val="18"/>
        </w:rPr>
      </w:pPr>
      <w:r>
        <w:rPr>
          <w:sz w:val="18"/>
          <w:szCs w:val="18"/>
        </w:rPr>
        <w:t xml:space="preserve">I Český knižní trh se stabilizoval, dnes na něm operují zavedené distribuční firmy </w:t>
      </w:r>
      <w:proofErr w:type="gramStart"/>
      <w:r>
        <w:rPr>
          <w:sz w:val="18"/>
          <w:szCs w:val="18"/>
        </w:rPr>
        <w:t>se .i</w:t>
      </w:r>
      <w:proofErr w:type="gramEnd"/>
      <w:r>
        <w:rPr>
          <w:sz w:val="18"/>
          <w:szCs w:val="18"/>
        </w:rPr>
        <w:t xml:space="preserve"> </w:t>
      </w:r>
      <w:proofErr w:type="spellStart"/>
      <w:r>
        <w:rPr>
          <w:sz w:val="18"/>
          <w:szCs w:val="18"/>
        </w:rPr>
        <w:t>ilištikovanými</w:t>
      </w:r>
      <w:proofErr w:type="spellEnd"/>
      <w:r>
        <w:rPr>
          <w:sz w:val="18"/>
          <w:szCs w:val="18"/>
        </w:rPr>
        <w:t xml:space="preserve"> informačními i prodejními systémy. Stížnosti na nepřehlednost trhu již nejsou zcela opodstatněné, nabídce knih napomáhají i nadnárodní internetové projekty. Nakladatelé věnují větší pozornost „tváři“ své firmy, obsahu své nabídky i marketingu. Rezervu spatřuji v oblasti knihkupecké, kde vidím určitý nedostatek inovace a kreativity</w:t>
      </w:r>
      <w:proofErr w:type="gramStart"/>
      <w:r>
        <w:rPr>
          <w:sz w:val="18"/>
          <w:szCs w:val="18"/>
        </w:rPr>
        <w:t>, ,</w:t>
      </w:r>
      <w:proofErr w:type="spellStart"/>
      <w:r>
        <w:rPr>
          <w:sz w:val="18"/>
          <w:szCs w:val="18"/>
        </w:rPr>
        <w:t>lž</w:t>
      </w:r>
      <w:proofErr w:type="spellEnd"/>
      <w:proofErr w:type="gramEnd"/>
      <w:r>
        <w:rPr>
          <w:sz w:val="18"/>
          <w:szCs w:val="18"/>
        </w:rPr>
        <w:t xml:space="preserve"> by měl zákonitě vyvolávat střemhlavý rozvoj technologií. Velkým problémem je příliš vysoká DPH na knihy, a pokud dojde k jeho snížení či úplnému zrušení, věřím tomu, že </w:t>
      </w:r>
      <w:r>
        <w:rPr>
          <w:sz w:val="17"/>
          <w:szCs w:val="17"/>
        </w:rPr>
        <w:t xml:space="preserve">se </w:t>
      </w:r>
      <w:r>
        <w:rPr>
          <w:sz w:val="18"/>
          <w:szCs w:val="18"/>
        </w:rPr>
        <w:t>prodeje opět zvednou.</w:t>
      </w:r>
    </w:p>
    <w:p w14:paraId="592B54F6" w14:textId="77777777" w:rsidR="00845B18" w:rsidRDefault="00000000">
      <w:pPr>
        <w:pStyle w:val="Zkladntext20"/>
        <w:framePr w:w="6950" w:h="4978" w:hRule="exact" w:wrap="none" w:vAnchor="page" w:hAnchor="page" w:x="425" w:y="6101"/>
        <w:shd w:val="clear" w:color="auto" w:fill="auto"/>
        <w:spacing w:after="0" w:line="290" w:lineRule="auto"/>
        <w:rPr>
          <w:sz w:val="18"/>
          <w:szCs w:val="18"/>
        </w:rPr>
      </w:pPr>
      <w:r>
        <w:rPr>
          <w:sz w:val="18"/>
          <w:szCs w:val="18"/>
        </w:rPr>
        <w:t xml:space="preserve">?.. </w:t>
      </w:r>
      <w:proofErr w:type="spellStart"/>
      <w:r>
        <w:rPr>
          <w:sz w:val="18"/>
          <w:szCs w:val="18"/>
        </w:rPr>
        <w:t>Ižalší</w:t>
      </w:r>
      <w:proofErr w:type="spellEnd"/>
      <w:r>
        <w:rPr>
          <w:sz w:val="18"/>
          <w:szCs w:val="18"/>
        </w:rPr>
        <w:t xml:space="preserve"> vývoj knižního trhu bude ovlivňovat ekonomická situace společnosti a technolo</w:t>
      </w:r>
      <w:r>
        <w:rPr>
          <w:sz w:val="18"/>
          <w:szCs w:val="18"/>
        </w:rPr>
        <w:softHyphen/>
        <w:t xml:space="preserve">gii </w:t>
      </w:r>
      <w:proofErr w:type="spellStart"/>
      <w:r>
        <w:rPr>
          <w:sz w:val="18"/>
          <w:szCs w:val="18"/>
        </w:rPr>
        <w:t>ký</w:t>
      </w:r>
      <w:proofErr w:type="spellEnd"/>
      <w:r>
        <w:rPr>
          <w:sz w:val="18"/>
          <w:szCs w:val="18"/>
        </w:rPr>
        <w:t xml:space="preserve"> vývoj nakladatelského průmyslu; významnými hráči na trhu se stanou i producenti i </w:t>
      </w:r>
      <w:proofErr w:type="spellStart"/>
      <w:r>
        <w:rPr>
          <w:sz w:val="18"/>
          <w:szCs w:val="18"/>
        </w:rPr>
        <w:t>lecích</w:t>
      </w:r>
      <w:proofErr w:type="spellEnd"/>
      <w:r>
        <w:rPr>
          <w:sz w:val="18"/>
          <w:szCs w:val="18"/>
        </w:rPr>
        <w:t xml:space="preserve"> zařízení a portálů s nabídkou e-knih. E-knihy jsou a budou souběžným produk</w:t>
      </w:r>
      <w:r>
        <w:rPr>
          <w:sz w:val="18"/>
          <w:szCs w:val="18"/>
        </w:rPr>
        <w:softHyphen/>
        <w:t>tem nakladatelství, jak tomu bylo v době vývoje CD-</w:t>
      </w:r>
      <w:proofErr w:type="spellStart"/>
      <w:r>
        <w:rPr>
          <w:sz w:val="18"/>
          <w:szCs w:val="18"/>
        </w:rPr>
        <w:t>ROMů</w:t>
      </w:r>
      <w:proofErr w:type="spellEnd"/>
      <w:r>
        <w:rPr>
          <w:sz w:val="18"/>
          <w:szCs w:val="18"/>
        </w:rPr>
        <w:t xml:space="preserve">, častým jevem začíná být </w:t>
      </w:r>
      <w:proofErr w:type="spellStart"/>
      <w:r>
        <w:rPr>
          <w:sz w:val="18"/>
          <w:szCs w:val="18"/>
        </w:rPr>
        <w:t>Izv</w:t>
      </w:r>
      <w:proofErr w:type="spellEnd"/>
      <w:r>
        <w:rPr>
          <w:sz w:val="18"/>
          <w:szCs w:val="18"/>
        </w:rPr>
        <w:t xml:space="preserve">. </w:t>
      </w:r>
      <w:proofErr w:type="spellStart"/>
      <w:r>
        <w:rPr>
          <w:i/>
          <w:iCs/>
          <w:sz w:val="18"/>
          <w:szCs w:val="18"/>
        </w:rPr>
        <w:t>self-publishing</w:t>
      </w:r>
      <w:proofErr w:type="spellEnd"/>
      <w:r>
        <w:rPr>
          <w:i/>
          <w:iCs/>
          <w:sz w:val="18"/>
          <w:szCs w:val="18"/>
        </w:rPr>
        <w:t>,</w:t>
      </w:r>
      <w:r>
        <w:rPr>
          <w:sz w:val="18"/>
          <w:szCs w:val="18"/>
        </w:rPr>
        <w:t xml:space="preserve"> kdy autor vydává knihu (většinou elektronickou) sám a zajišťuje </w:t>
      </w:r>
      <w:r>
        <w:rPr>
          <w:sz w:val="18"/>
          <w:szCs w:val="18"/>
          <w:lang w:val="fr-FR" w:eastAsia="fr-FR" w:bidi="fr-FR"/>
        </w:rPr>
        <w:t xml:space="preserve">si </w:t>
      </w:r>
      <w:r>
        <w:rPr>
          <w:sz w:val="18"/>
          <w:szCs w:val="18"/>
        </w:rPr>
        <w:t>její internetový prodej. Rozmach zažívají e-knihy především v rámci teritoriálně i jazykově velkých trhů (USA, anglofonní oblasti); dostává se tím do popředí otázka marketingu příběhu, literárního obsahu, jenž může být vydán v různých formátech. Určujícím hle</w:t>
      </w:r>
      <w:r>
        <w:rPr>
          <w:sz w:val="18"/>
          <w:szCs w:val="18"/>
        </w:rPr>
        <w:softHyphen/>
        <w:t>diskem je však vždy čtenářský zájem.</w:t>
      </w:r>
    </w:p>
    <w:p w14:paraId="6E674372" w14:textId="77777777" w:rsidR="00845B18" w:rsidRDefault="00845B18">
      <w:pPr>
        <w:spacing w:line="14" w:lineRule="exact"/>
        <w:sectPr w:rsidR="00845B18">
          <w:pgSz w:w="8400" w:h="11900"/>
          <w:pgMar w:top="360" w:right="360" w:bottom="360" w:left="360" w:header="0" w:footer="3" w:gutter="0"/>
          <w:cols w:space="720"/>
          <w:noEndnote/>
          <w:docGrid w:linePitch="360"/>
        </w:sectPr>
      </w:pPr>
    </w:p>
    <w:p w14:paraId="0A9363B4" w14:textId="77777777" w:rsidR="00845B18" w:rsidRDefault="00000000">
      <w:pPr>
        <w:spacing w:line="14" w:lineRule="exact"/>
      </w:pPr>
      <w:r>
        <w:rPr>
          <w:noProof/>
        </w:rPr>
        <w:lastRenderedPageBreak/>
        <mc:AlternateContent>
          <mc:Choice Requires="wps">
            <w:drawing>
              <wp:anchor distT="0" distB="0" distL="114300" distR="114300" simplePos="0" relativeHeight="251655168" behindDoc="1" locked="0" layoutInCell="1" allowOverlap="1" wp14:anchorId="4F6B24DF" wp14:editId="5C7270AD">
                <wp:simplePos x="0" y="0"/>
                <wp:positionH relativeFrom="page">
                  <wp:posOffset>694055</wp:posOffset>
                </wp:positionH>
                <wp:positionV relativeFrom="page">
                  <wp:posOffset>316230</wp:posOffset>
                </wp:positionV>
                <wp:extent cx="4380230" cy="0"/>
                <wp:effectExtent l="0" t="0" r="0" b="0"/>
                <wp:wrapNone/>
                <wp:docPr id="20" name="Shape 20"/>
                <wp:cNvGraphicFramePr/>
                <a:graphic xmlns:a="http://schemas.openxmlformats.org/drawingml/2006/main">
                  <a:graphicData uri="http://schemas.microsoft.com/office/word/2010/wordprocessingShape">
                    <wps:wsp>
                      <wps:cNvCnPr/>
                      <wps:spPr>
                        <a:xfrm>
                          <a:off x="0" y="0"/>
                          <a:ext cx="4380230" cy="0"/>
                        </a:xfrm>
                        <a:prstGeom prst="straightConnector1">
                          <a:avLst/>
                        </a:prstGeom>
                        <a:ln w="8890">
                          <a:solidFill/>
                        </a:ln>
                      </wps:spPr>
                      <wps:bodyPr/>
                    </wps:wsp>
                  </a:graphicData>
                </a:graphic>
              </wp:anchor>
            </w:drawing>
          </mc:Choice>
          <mc:Fallback>
            <w:pict>
              <v:shape o:spt="32" o:oned="1" path="m,l21600,21600e" style="position:absolute;margin-left:54.649999999999999pt;margin-top:24.899999999999999pt;width:344.89999999999998pt;height:0;z-index:-251658240;mso-position-horizontal-relative:page;mso-position-vertical-relative:page">
                <v:stroke weight="0.69999999999999996pt"/>
              </v:shape>
            </w:pict>
          </mc:Fallback>
        </mc:AlternateContent>
      </w:r>
    </w:p>
    <w:p w14:paraId="5364AA76" w14:textId="77777777" w:rsidR="00845B18" w:rsidRDefault="00000000">
      <w:pPr>
        <w:pStyle w:val="Zhlavnebozpat0"/>
        <w:framePr w:wrap="none" w:vAnchor="page" w:hAnchor="page" w:x="4397" w:y="158"/>
        <w:shd w:val="clear" w:color="auto" w:fill="auto"/>
        <w:rPr>
          <w:sz w:val="18"/>
          <w:szCs w:val="18"/>
        </w:rPr>
      </w:pPr>
      <w:r>
        <w:rPr>
          <w:sz w:val="18"/>
          <w:szCs w:val="18"/>
        </w:rPr>
        <w:t>(30]</w:t>
      </w:r>
    </w:p>
    <w:p w14:paraId="57EC41F0" w14:textId="77777777" w:rsidR="00845B18" w:rsidRDefault="00000000">
      <w:pPr>
        <w:pStyle w:val="Zkladntext70"/>
        <w:framePr w:w="7013" w:h="6245" w:hRule="exact" w:wrap="none" w:vAnchor="page" w:hAnchor="page" w:x="1013" w:y="710"/>
        <w:shd w:val="clear" w:color="auto" w:fill="auto"/>
        <w:spacing w:line="300" w:lineRule="auto"/>
        <w:ind w:left="0"/>
        <w:jc w:val="center"/>
        <w:rPr>
          <w:sz w:val="18"/>
          <w:szCs w:val="18"/>
        </w:rPr>
      </w:pPr>
      <w:r>
        <w:rPr>
          <w:lang w:val="es-ES" w:eastAsia="es-ES" w:bidi="es-ES"/>
        </w:rPr>
        <w:t xml:space="preserve">JAN </w:t>
      </w:r>
      <w:r>
        <w:rPr>
          <w:lang w:val="fr-FR" w:eastAsia="fr-FR" w:bidi="fr-FR"/>
        </w:rPr>
        <w:t xml:space="preserve">K A N Z E L S B E R G E </w:t>
      </w:r>
      <w:r>
        <w:rPr>
          <w:lang w:val="es-ES" w:eastAsia="es-ES" w:bidi="es-ES"/>
        </w:rPr>
        <w:t xml:space="preserve">R, </w:t>
      </w:r>
      <w:r>
        <w:t>MAJITEL</w:t>
      </w:r>
      <w:r>
        <w:br/>
        <w:t xml:space="preserve">NEJVĚTŠÍHO </w:t>
      </w:r>
      <w:r>
        <w:rPr>
          <w:b w:val="0"/>
          <w:bCs w:val="0"/>
          <w:smallCaps/>
          <w:sz w:val="18"/>
          <w:szCs w:val="18"/>
        </w:rPr>
        <w:t>českého řetězce knihkupectví</w:t>
      </w:r>
    </w:p>
    <w:p w14:paraId="1DAA828F" w14:textId="77777777" w:rsidR="00845B18" w:rsidRDefault="00000000">
      <w:pPr>
        <w:pStyle w:val="Zkladntext20"/>
        <w:framePr w:w="7013" w:h="6245" w:hRule="exact" w:wrap="none" w:vAnchor="page" w:hAnchor="page" w:x="1013" w:y="710"/>
        <w:numPr>
          <w:ilvl w:val="0"/>
          <w:numId w:val="7"/>
        </w:numPr>
        <w:shd w:val="clear" w:color="auto" w:fill="auto"/>
        <w:tabs>
          <w:tab w:val="left" w:pos="265"/>
        </w:tabs>
        <w:spacing w:after="340" w:line="288" w:lineRule="auto"/>
        <w:rPr>
          <w:sz w:val="18"/>
          <w:szCs w:val="18"/>
        </w:rPr>
      </w:pPr>
      <w:r>
        <w:rPr>
          <w:sz w:val="18"/>
          <w:szCs w:val="18"/>
        </w:rPr>
        <w:t>a 2. Problémy knižního trhu nevidím nikterak dramaticky, s ohledem na jeho velikost nás trápí jeho podfinancování (kterému škodí DPH na knihy obecně) a částečně i ne</w:t>
      </w:r>
      <w:r>
        <w:rPr>
          <w:sz w:val="18"/>
          <w:szCs w:val="18"/>
        </w:rPr>
        <w:softHyphen/>
        <w:t>zájem státu o kulturu, ale to je již trochu i z jiného soudku. A vývoj? Možná už ani Pán Bůh neví, co nás vůbec čeká.</w:t>
      </w:r>
    </w:p>
    <w:p w14:paraId="315F70C8" w14:textId="77777777" w:rsidR="00845B18" w:rsidRDefault="00000000">
      <w:pPr>
        <w:pStyle w:val="Zkladntext70"/>
        <w:framePr w:w="7013" w:h="6245" w:hRule="exact" w:wrap="none" w:vAnchor="page" w:hAnchor="page" w:x="1013" w:y="710"/>
        <w:shd w:val="clear" w:color="auto" w:fill="auto"/>
        <w:spacing w:line="300" w:lineRule="auto"/>
        <w:ind w:left="0"/>
        <w:jc w:val="center"/>
      </w:pPr>
      <w:r>
        <w:t>PAVEL MANDYS, KULTURNÍ PUBLICISTA, SPOLUZAKLADATEL</w:t>
      </w:r>
      <w:r>
        <w:br/>
        <w:t>A SPOLUORGANIZÁTOR VÝROČNÍCH CEN MAGNESIA LITERA</w:t>
      </w:r>
    </w:p>
    <w:p w14:paraId="3576716A" w14:textId="77777777" w:rsidR="00845B18" w:rsidRDefault="00000000">
      <w:pPr>
        <w:pStyle w:val="Zkladntext20"/>
        <w:framePr w:w="7013" w:h="6245" w:hRule="exact" w:wrap="none" w:vAnchor="page" w:hAnchor="page" w:x="1013" w:y="710"/>
        <w:shd w:val="clear" w:color="auto" w:fill="auto"/>
        <w:spacing w:after="0" w:line="290" w:lineRule="auto"/>
        <w:rPr>
          <w:sz w:val="18"/>
          <w:szCs w:val="18"/>
        </w:rPr>
      </w:pPr>
      <w:r>
        <w:rPr>
          <w:sz w:val="18"/>
          <w:szCs w:val="18"/>
        </w:rPr>
        <w:t>1. a 2. Český knižní trh byl od devadesátých let především značně podfinancovaný a roz</w:t>
      </w:r>
      <w:r>
        <w:rPr>
          <w:sz w:val="18"/>
          <w:szCs w:val="18"/>
        </w:rPr>
        <w:softHyphen/>
        <w:t>tříštěný a na rozdíl od západoevropského průměru v něm bylo podstatně větší procento nakladatelů-nadšenců, kteří na rozdíl od nakladatelů-podnikatelů příliš nehleděli na rentabilitu vydávaných titulů, ale spíše na jejich uměleckou kvalitu. To bylo a je na jed</w:t>
      </w:r>
      <w:r>
        <w:rPr>
          <w:sz w:val="18"/>
          <w:szCs w:val="18"/>
        </w:rPr>
        <w:softHyphen/>
        <w:t xml:space="preserve">nu stranu výhodné pro vášnivé (nebo zkušené, chcete-li) čtenáře, kteří ocení bohatost a pestrost nabídky, ostatní však byli nepřehlednou nabídkou spíše dezorientováni a pro stabilitu trhu jako takového to byl problém. Chybělo tradiční rozlišení na bestsellerové čtivo, široce akceptovaný kvalitní </w:t>
      </w:r>
      <w:r>
        <w:rPr>
          <w:i/>
          <w:iCs/>
          <w:sz w:val="18"/>
          <w:szCs w:val="18"/>
        </w:rPr>
        <w:t>mainstream</w:t>
      </w:r>
      <w:r>
        <w:rPr>
          <w:sz w:val="18"/>
          <w:szCs w:val="18"/>
        </w:rPr>
        <w:t xml:space="preserve"> a náročnou uměleckou literaturu; zatímco oba krajní póly tu existovaly, kvalitní domácí </w:t>
      </w:r>
      <w:r>
        <w:rPr>
          <w:i/>
          <w:iCs/>
          <w:sz w:val="18"/>
          <w:szCs w:val="18"/>
        </w:rPr>
        <w:t>mainstream</w:t>
      </w:r>
      <w:r>
        <w:rPr>
          <w:sz w:val="18"/>
          <w:szCs w:val="18"/>
        </w:rPr>
        <w:t xml:space="preserve"> byl nerozlišitelný. V posledních několika letech však posilují silné subjekty (nakladatelské i distribuční: Albatros Media, Host, Argo/Kosmas, </w:t>
      </w:r>
      <w:proofErr w:type="spellStart"/>
      <w:r>
        <w:rPr>
          <w:sz w:val="18"/>
          <w:szCs w:val="18"/>
        </w:rPr>
        <w:t>Neoluxor</w:t>
      </w:r>
      <w:proofErr w:type="spellEnd"/>
      <w:r>
        <w:rPr>
          <w:sz w:val="18"/>
          <w:szCs w:val="18"/>
        </w:rPr>
        <w:t>) a oslabují nebo mizí subjekty slabší, přičemž nové na rozdíl od let 1990-2005 už téměř nevznikají. To bude podle mne také trend dalších let, i když to nebude postupovat nikterak rychle. Největší potenciální problém vidím v čím dál mizivější mediální reflexi knih, zejména novinek — s tím, jak budou pomalu zanikat klasická tištěná média či kulturní a literární rubriky v nich.</w:t>
      </w:r>
    </w:p>
    <w:p w14:paraId="1BE9B14C" w14:textId="77777777" w:rsidR="00845B18" w:rsidRDefault="00000000">
      <w:pPr>
        <w:pStyle w:val="Zkladntext70"/>
        <w:framePr w:w="7013" w:h="4315" w:hRule="exact" w:wrap="none" w:vAnchor="page" w:hAnchor="page" w:x="1013" w:y="7306"/>
        <w:shd w:val="clear" w:color="auto" w:fill="auto"/>
        <w:spacing w:after="180"/>
        <w:ind w:left="0"/>
        <w:jc w:val="center"/>
      </w:pPr>
      <w:r>
        <w:t xml:space="preserve">JIŘÍ </w:t>
      </w:r>
      <w:r>
        <w:rPr>
          <w:lang w:val="fr-FR" w:eastAsia="fr-FR" w:bidi="fr-FR"/>
        </w:rPr>
        <w:t xml:space="preserve">PADEVËT, </w:t>
      </w:r>
      <w:r>
        <w:t>ŘEDITEL NAKLADATELSTVÍ ACADEMIA</w:t>
      </w:r>
    </w:p>
    <w:p w14:paraId="6F437684" w14:textId="77777777" w:rsidR="00845B18" w:rsidRDefault="00000000">
      <w:pPr>
        <w:pStyle w:val="Zkladntext20"/>
        <w:framePr w:w="7013" w:h="4315" w:hRule="exact" w:wrap="none" w:vAnchor="page" w:hAnchor="page" w:x="1013" w:y="7306"/>
        <w:shd w:val="clear" w:color="auto" w:fill="auto"/>
        <w:spacing w:after="340" w:line="290" w:lineRule="auto"/>
        <w:rPr>
          <w:sz w:val="18"/>
          <w:szCs w:val="18"/>
        </w:rPr>
      </w:pPr>
      <w:r>
        <w:rPr>
          <w:sz w:val="18"/>
          <w:szCs w:val="18"/>
        </w:rPr>
        <w:t>1. a 2. Knižní trh je pestrý, přeplněný, komisní, ale zatím fungující. Na jedné straně velcí hráči, distribuce a sítě, na druhé straně řada malých knihkupců a nakladatelů. Otázkou zůstává, zda se tyto dvě skupiny začnou požírat, nebo zda budou pomalu vznikat dva růz</w:t>
      </w:r>
      <w:r>
        <w:rPr>
          <w:sz w:val="18"/>
          <w:szCs w:val="18"/>
        </w:rPr>
        <w:softHyphen/>
        <w:t>né světy, nebo řada malých světů pro různé typy čtenářů a literatury. Velcí budou požírat malé, ale jen ty malé, o které budou mít zájem ekonomický. Takže malí, kteří se udrží a mají obsah zajímavý pro ne zcela běžného čtenáře, mají šanci stát se sice malou, ale stálicí a jis</w:t>
      </w:r>
      <w:r>
        <w:rPr>
          <w:sz w:val="18"/>
          <w:szCs w:val="18"/>
        </w:rPr>
        <w:softHyphen/>
        <w:t>totou knižního trhu. Velké může vždycky někdo prodat dál a začít prodávat něco jiného.</w:t>
      </w:r>
    </w:p>
    <w:p w14:paraId="0A2691DA" w14:textId="77777777" w:rsidR="00845B18" w:rsidRDefault="00000000">
      <w:pPr>
        <w:pStyle w:val="Zkladntext70"/>
        <w:framePr w:w="7013" w:h="4315" w:hRule="exact" w:wrap="none" w:vAnchor="page" w:hAnchor="page" w:x="1013" w:y="7306"/>
        <w:shd w:val="clear" w:color="auto" w:fill="auto"/>
        <w:spacing w:after="0"/>
        <w:ind w:left="0"/>
        <w:jc w:val="center"/>
      </w:pPr>
      <w:r>
        <w:t>JIŘÍ PELÁN, VYSOKOŠKOLSKÝ UČITEL,</w:t>
      </w:r>
    </w:p>
    <w:p w14:paraId="04B62141" w14:textId="77777777" w:rsidR="00845B18" w:rsidRDefault="00000000">
      <w:pPr>
        <w:pStyle w:val="Zkladntext70"/>
        <w:framePr w:w="7013" w:h="4315" w:hRule="exact" w:wrap="none" w:vAnchor="page" w:hAnchor="page" w:x="1013" w:y="7306"/>
        <w:shd w:val="clear" w:color="auto" w:fill="auto"/>
        <w:spacing w:after="180"/>
        <w:ind w:left="0"/>
        <w:jc w:val="center"/>
      </w:pPr>
      <w:r>
        <w:t>BÝVALÝ ŠÉFREDAKTOR NAKLADATELSTVÍ ODEON</w:t>
      </w:r>
    </w:p>
    <w:p w14:paraId="5A2671E9" w14:textId="77777777" w:rsidR="00845B18" w:rsidRDefault="00000000">
      <w:pPr>
        <w:pStyle w:val="Zkladntext20"/>
        <w:framePr w:w="7013" w:h="4315" w:hRule="exact" w:wrap="none" w:vAnchor="page" w:hAnchor="page" w:x="1013" w:y="7306"/>
        <w:shd w:val="clear" w:color="auto" w:fill="auto"/>
        <w:spacing w:after="0" w:line="290" w:lineRule="auto"/>
        <w:rPr>
          <w:sz w:val="18"/>
          <w:szCs w:val="18"/>
        </w:rPr>
      </w:pPr>
      <w:r>
        <w:rPr>
          <w:sz w:val="18"/>
          <w:szCs w:val="18"/>
        </w:rPr>
        <w:t>1. Produkce je dlouhodobě naddimenzována a rytmus novinek je příliš hektický. V zá</w:t>
      </w:r>
      <w:r>
        <w:rPr>
          <w:sz w:val="18"/>
          <w:szCs w:val="18"/>
        </w:rPr>
        <w:softHyphen/>
        <w:t xml:space="preserve">sadě se mi však zdá, že knižní trh je relativně stabilizovaný: nakladatelé </w:t>
      </w:r>
      <w:r>
        <w:rPr>
          <w:sz w:val="18"/>
          <w:szCs w:val="18"/>
          <w:lang w:val="fr-FR" w:eastAsia="fr-FR" w:bidi="fr-FR"/>
        </w:rPr>
        <w:t xml:space="preserve">si </w:t>
      </w:r>
      <w:r>
        <w:rPr>
          <w:sz w:val="18"/>
          <w:szCs w:val="18"/>
        </w:rPr>
        <w:t>našli svá zá</w:t>
      </w:r>
      <w:r>
        <w:rPr>
          <w:sz w:val="18"/>
          <w:szCs w:val="18"/>
        </w:rPr>
        <w:softHyphen/>
        <w:t>jmová teritoria, zpřehlednili svou produkci systémem edic, vychází spousta kvalitních titulů a zpravidla i v dobrém redakčním zpracování. Specifickým rysem (negativním) českého knižního trhu je sňati fakt, že žádné nakladatelství nemá koncepční zpracováno</w:t>
      </w:r>
    </w:p>
    <w:p w14:paraId="0FECD36F" w14:textId="77777777" w:rsidR="00845B18" w:rsidRDefault="00845B18">
      <w:pPr>
        <w:spacing w:line="14" w:lineRule="exact"/>
        <w:sectPr w:rsidR="00845B18">
          <w:pgSz w:w="8400" w:h="11900"/>
          <w:pgMar w:top="360" w:right="360" w:bottom="360" w:left="360" w:header="0" w:footer="3" w:gutter="0"/>
          <w:cols w:space="720"/>
          <w:noEndnote/>
          <w:docGrid w:linePitch="360"/>
        </w:sectPr>
      </w:pPr>
    </w:p>
    <w:p w14:paraId="0B78105C" w14:textId="77777777" w:rsidR="00845B18" w:rsidRDefault="00000000">
      <w:pPr>
        <w:spacing w:line="14" w:lineRule="exact"/>
      </w:pPr>
      <w:r>
        <w:rPr>
          <w:noProof/>
        </w:rPr>
        <w:lastRenderedPageBreak/>
        <mc:AlternateContent>
          <mc:Choice Requires="wps">
            <w:drawing>
              <wp:anchor distT="0" distB="0" distL="114300" distR="114300" simplePos="0" relativeHeight="251656192" behindDoc="1" locked="0" layoutInCell="1" allowOverlap="1" wp14:anchorId="2D598BBE" wp14:editId="5F52CB44">
                <wp:simplePos x="0" y="0"/>
                <wp:positionH relativeFrom="page">
                  <wp:posOffset>485140</wp:posOffset>
                </wp:positionH>
                <wp:positionV relativeFrom="page">
                  <wp:posOffset>319405</wp:posOffset>
                </wp:positionV>
                <wp:extent cx="4175760" cy="0"/>
                <wp:effectExtent l="0" t="0" r="0" b="0"/>
                <wp:wrapNone/>
                <wp:docPr id="21" name="Shape 21"/>
                <wp:cNvGraphicFramePr/>
                <a:graphic xmlns:a="http://schemas.openxmlformats.org/drawingml/2006/main">
                  <a:graphicData uri="http://schemas.microsoft.com/office/word/2010/wordprocessingShape">
                    <wps:wsp>
                      <wps:cNvCnPr/>
                      <wps:spPr>
                        <a:xfrm>
                          <a:off x="0" y="0"/>
                          <a:ext cx="4175760" cy="0"/>
                        </a:xfrm>
                        <a:prstGeom prst="straightConnector1">
                          <a:avLst/>
                        </a:prstGeom>
                        <a:ln w="8890">
                          <a:solidFill/>
                        </a:ln>
                      </wps:spPr>
                      <wps:bodyPr/>
                    </wps:wsp>
                  </a:graphicData>
                </a:graphic>
              </wp:anchor>
            </w:drawing>
          </mc:Choice>
          <mc:Fallback>
            <w:pict>
              <v:shape o:spt="32" o:oned="1" path="m,l21600,21600e" style="position:absolute;margin-left:38.200000000000003pt;margin-top:25.149999999999999pt;width:328.80000000000001pt;height:0;z-index:-251658240;mso-position-horizontal-relative:page;mso-position-vertical-relative:page">
                <v:stroke weight="0.69999999999999996pt"/>
              </v:shape>
            </w:pict>
          </mc:Fallback>
        </mc:AlternateContent>
      </w:r>
    </w:p>
    <w:p w14:paraId="18185465" w14:textId="77777777" w:rsidR="00845B18" w:rsidRDefault="00000000">
      <w:pPr>
        <w:pStyle w:val="Zhlavnebozpat0"/>
        <w:framePr w:wrap="none" w:vAnchor="page" w:hAnchor="page" w:x="3713" w:y="178"/>
        <w:shd w:val="clear" w:color="auto" w:fill="auto"/>
        <w:rPr>
          <w:sz w:val="17"/>
          <w:szCs w:val="17"/>
        </w:rPr>
      </w:pPr>
      <w:r>
        <w:rPr>
          <w:sz w:val="18"/>
          <w:szCs w:val="18"/>
        </w:rPr>
        <w:t>[3</w:t>
      </w:r>
      <w:r>
        <w:rPr>
          <w:sz w:val="18"/>
          <w:szCs w:val="18"/>
          <w:lang w:val="es-ES" w:eastAsia="es-ES" w:bidi="es-ES"/>
        </w:rPr>
        <w:t>1</w:t>
      </w:r>
      <w:r>
        <w:rPr>
          <w:sz w:val="17"/>
          <w:szCs w:val="17"/>
        </w:rPr>
        <w:t>1</w:t>
      </w:r>
    </w:p>
    <w:p w14:paraId="786A584A" w14:textId="77777777" w:rsidR="00845B18" w:rsidRDefault="00000000">
      <w:pPr>
        <w:pStyle w:val="Zkladntext20"/>
        <w:framePr w:w="6974" w:h="1670" w:hRule="exact" w:wrap="none" w:vAnchor="page" w:hAnchor="page" w:x="396" w:y="672"/>
        <w:shd w:val="clear" w:color="auto" w:fill="auto"/>
        <w:spacing w:after="120" w:line="290" w:lineRule="auto"/>
        <w:rPr>
          <w:sz w:val="18"/>
          <w:szCs w:val="18"/>
        </w:rPr>
      </w:pPr>
      <w:r>
        <w:rPr>
          <w:sz w:val="18"/>
          <w:szCs w:val="18"/>
        </w:rPr>
        <w:t xml:space="preserve">vydávání klasické literatury (v tom zůstal Odeon nenahrazen). Jako velký problém se mi dlouho jevilo, že stálý proud novinek vede knihkupce k tomu, aby i velmi kvalitní tituly nabízeli jen jednorázově, ale jak to vypadá — to nicméně ať posoudí povolanější —, </w:t>
      </w:r>
      <w:proofErr w:type="gramStart"/>
      <w:r>
        <w:rPr>
          <w:sz w:val="18"/>
          <w:szCs w:val="18"/>
        </w:rPr>
        <w:t xml:space="preserve">in- </w:t>
      </w:r>
      <w:proofErr w:type="spellStart"/>
      <w:r>
        <w:rPr>
          <w:sz w:val="18"/>
          <w:szCs w:val="18"/>
        </w:rPr>
        <w:t>lernetový</w:t>
      </w:r>
      <w:proofErr w:type="spellEnd"/>
      <w:proofErr w:type="gramEnd"/>
      <w:r>
        <w:rPr>
          <w:sz w:val="18"/>
          <w:szCs w:val="18"/>
        </w:rPr>
        <w:t xml:space="preserve"> prodej tento problém do značné míry řeší.</w:t>
      </w:r>
    </w:p>
    <w:p w14:paraId="22CA1887" w14:textId="77777777" w:rsidR="00845B18" w:rsidRDefault="00000000">
      <w:pPr>
        <w:pStyle w:val="Zkladntext20"/>
        <w:framePr w:w="6974" w:h="1670" w:hRule="exact" w:wrap="none" w:vAnchor="page" w:hAnchor="page" w:x="396" w:y="672"/>
        <w:shd w:val="clear" w:color="auto" w:fill="auto"/>
        <w:spacing w:after="0" w:line="295" w:lineRule="auto"/>
        <w:rPr>
          <w:sz w:val="18"/>
          <w:szCs w:val="18"/>
        </w:rPr>
      </w:pPr>
      <w:r>
        <w:rPr>
          <w:sz w:val="18"/>
          <w:szCs w:val="18"/>
        </w:rPr>
        <w:t>’ Neočekávám žádné velké změny. Zřejmě se prosadí elektronické verze textů, ale na konec tradiční papírové knihy to rozhodně nevypadá.</w:t>
      </w:r>
    </w:p>
    <w:p w14:paraId="3E1BC072" w14:textId="77777777" w:rsidR="00845B18" w:rsidRDefault="00000000">
      <w:pPr>
        <w:pStyle w:val="Zkladntext70"/>
        <w:framePr w:w="6974" w:h="2976" w:hRule="exact" w:wrap="none" w:vAnchor="page" w:hAnchor="page" w:x="396" w:y="2640"/>
        <w:shd w:val="clear" w:color="auto" w:fill="auto"/>
        <w:spacing w:after="120" w:line="300" w:lineRule="auto"/>
        <w:ind w:left="0"/>
        <w:jc w:val="center"/>
      </w:pPr>
      <w:r>
        <w:t>VLADIMÍR PISTORIUS, BÝVALÝ PŘEDSEDA SVAZU</w:t>
      </w:r>
      <w:r>
        <w:br/>
        <w:t>ČESKÝCH KNIHKUPCŮ A NAKLADATELŮ, NAKLADATEL</w:t>
      </w:r>
    </w:p>
    <w:p w14:paraId="49B2A13E" w14:textId="77777777" w:rsidR="00845B18" w:rsidRDefault="00000000">
      <w:pPr>
        <w:pStyle w:val="Zkladntext20"/>
        <w:framePr w:w="6974" w:h="2976" w:hRule="exact" w:wrap="none" w:vAnchor="page" w:hAnchor="page" w:x="396" w:y="2640"/>
        <w:shd w:val="clear" w:color="auto" w:fill="auto"/>
        <w:spacing w:after="120" w:line="290" w:lineRule="auto"/>
        <w:rPr>
          <w:sz w:val="18"/>
          <w:szCs w:val="18"/>
        </w:rPr>
      </w:pPr>
      <w:r>
        <w:rPr>
          <w:sz w:val="18"/>
          <w:szCs w:val="18"/>
        </w:rPr>
        <w:t xml:space="preserve">I Nedostatkem stále zůstává poměrně obtížný přístup čtenářů k informacím o knihách i </w:t>
      </w:r>
      <w:proofErr w:type="spellStart"/>
      <w:r>
        <w:rPr>
          <w:sz w:val="18"/>
          <w:szCs w:val="18"/>
        </w:rPr>
        <w:t>ihecně</w:t>
      </w:r>
      <w:proofErr w:type="spellEnd"/>
      <w:r>
        <w:rPr>
          <w:sz w:val="18"/>
          <w:szCs w:val="18"/>
        </w:rPr>
        <w:t xml:space="preserve">, zejména pak o tom, jaké nové knihy vyšly. Sem částečně patří i mizerný stav </w:t>
      </w:r>
      <w:proofErr w:type="gramStart"/>
      <w:r>
        <w:rPr>
          <w:sz w:val="18"/>
          <w:szCs w:val="18"/>
        </w:rPr>
        <w:t>re- i</w:t>
      </w:r>
      <w:proofErr w:type="gramEnd"/>
      <w:r>
        <w:rPr>
          <w:sz w:val="18"/>
          <w:szCs w:val="18"/>
        </w:rPr>
        <w:t xml:space="preserve"> </w:t>
      </w:r>
      <w:proofErr w:type="spellStart"/>
      <w:r>
        <w:rPr>
          <w:sz w:val="18"/>
          <w:szCs w:val="18"/>
        </w:rPr>
        <w:t>euzní</w:t>
      </w:r>
      <w:proofErr w:type="spellEnd"/>
      <w:r>
        <w:rPr>
          <w:sz w:val="18"/>
          <w:szCs w:val="18"/>
        </w:rPr>
        <w:t xml:space="preserve"> a informační práce novin, časopisů a televize.</w:t>
      </w:r>
    </w:p>
    <w:p w14:paraId="64E09A78" w14:textId="77777777" w:rsidR="00845B18" w:rsidRDefault="00000000">
      <w:pPr>
        <w:pStyle w:val="Zkladntext20"/>
        <w:framePr w:w="6974" w:h="2976" w:hRule="exact" w:wrap="none" w:vAnchor="page" w:hAnchor="page" w:x="396" w:y="2640"/>
        <w:shd w:val="clear" w:color="auto" w:fill="auto"/>
        <w:spacing w:after="0" w:line="290" w:lineRule="auto"/>
        <w:rPr>
          <w:sz w:val="18"/>
          <w:szCs w:val="18"/>
        </w:rPr>
      </w:pPr>
      <w:r>
        <w:rPr>
          <w:sz w:val="18"/>
          <w:szCs w:val="18"/>
        </w:rPr>
        <w:t xml:space="preserve">' Při současné úrovni DPH očekávám již letos (2013) určitý pokles titulové produkce, </w:t>
      </w:r>
      <w:proofErr w:type="spellStart"/>
      <w:r>
        <w:rPr>
          <w:sz w:val="18"/>
          <w:szCs w:val="18"/>
        </w:rPr>
        <w:t>I.lei</w:t>
      </w:r>
      <w:proofErr w:type="spellEnd"/>
      <w:r>
        <w:rPr>
          <w:sz w:val="18"/>
          <w:szCs w:val="18"/>
        </w:rPr>
        <w:t xml:space="preserve"> ý bude pokračovat v nejbližších dvou třech letech. Stále větší díl celkového prodeje bude realizován internetovým prodejem. K tomu jistě přispěje i vstup Amazonu do </w:t>
      </w:r>
      <w:proofErr w:type="spellStart"/>
      <w:r>
        <w:rPr>
          <w:sz w:val="18"/>
          <w:szCs w:val="18"/>
        </w:rPr>
        <w:t>Čes</w:t>
      </w:r>
      <w:proofErr w:type="spellEnd"/>
      <w:r>
        <w:rPr>
          <w:sz w:val="18"/>
          <w:szCs w:val="18"/>
        </w:rPr>
        <w:t xml:space="preserve">- </w:t>
      </w:r>
      <w:proofErr w:type="gramStart"/>
      <w:r>
        <w:rPr>
          <w:sz w:val="18"/>
          <w:szCs w:val="18"/>
        </w:rPr>
        <w:t>k&lt; republiky</w:t>
      </w:r>
      <w:proofErr w:type="gramEnd"/>
      <w:r>
        <w:rPr>
          <w:sz w:val="18"/>
          <w:szCs w:val="18"/>
        </w:rPr>
        <w:t xml:space="preserve">. Poroste počet e-knih i objem jejich prodeje, nicméně myslím </w:t>
      </w:r>
      <w:r>
        <w:rPr>
          <w:sz w:val="18"/>
          <w:szCs w:val="18"/>
          <w:lang w:val="fr-FR" w:eastAsia="fr-FR" w:bidi="fr-FR"/>
        </w:rPr>
        <w:t xml:space="preserve">si, </w:t>
      </w:r>
      <w:r>
        <w:rPr>
          <w:sz w:val="18"/>
          <w:szCs w:val="18"/>
        </w:rPr>
        <w:t>že tento i uši nebude tak strmý, jak se očekává, a zejména se e-knihy budou pomaleji prosazovat mimo svůj hlavní obor (detektivky, thrillery, sci-fi a fantasy).</w:t>
      </w:r>
    </w:p>
    <w:p w14:paraId="1792CA5C" w14:textId="77777777" w:rsidR="00845B18" w:rsidRDefault="00000000">
      <w:pPr>
        <w:pStyle w:val="Zkladntext70"/>
        <w:framePr w:w="6974" w:h="3528" w:hRule="exact" w:wrap="none" w:vAnchor="page" w:hAnchor="page" w:x="396" w:y="5971"/>
        <w:shd w:val="clear" w:color="auto" w:fill="auto"/>
        <w:spacing w:after="180"/>
        <w:ind w:left="0"/>
        <w:jc w:val="center"/>
      </w:pPr>
      <w:r>
        <w:t>TOMÁŠ REICHEL, ŘEDITEL NAKLADATELSTVÍ HOST</w:t>
      </w:r>
    </w:p>
    <w:p w14:paraId="7569D9F3" w14:textId="77777777" w:rsidR="00845B18" w:rsidRDefault="00000000">
      <w:pPr>
        <w:pStyle w:val="Zkladntext20"/>
        <w:framePr w:w="6974" w:h="3528" w:hRule="exact" w:wrap="none" w:vAnchor="page" w:hAnchor="page" w:x="396" w:y="5971"/>
        <w:shd w:val="clear" w:color="auto" w:fill="auto"/>
        <w:spacing w:after="0" w:line="290" w:lineRule="auto"/>
        <w:rPr>
          <w:sz w:val="18"/>
          <w:szCs w:val="18"/>
        </w:rPr>
      </w:pPr>
      <w:r>
        <w:rPr>
          <w:sz w:val="18"/>
          <w:szCs w:val="18"/>
        </w:rPr>
        <w:t xml:space="preserve">I Na český knižní trh měly v poslední době zásadní vliv dvě věci. Po krizi z roku 2008 </w:t>
      </w:r>
      <w:proofErr w:type="gramStart"/>
      <w:r>
        <w:rPr>
          <w:sz w:val="18"/>
          <w:szCs w:val="18"/>
        </w:rPr>
        <w:t>vy- i</w:t>
      </w:r>
      <w:proofErr w:type="gramEnd"/>
      <w:r>
        <w:rPr>
          <w:sz w:val="18"/>
          <w:szCs w:val="18"/>
        </w:rPr>
        <w:t xml:space="preserve"> baží citelně méně titulů než před krizí. Pod tímto tlakem se, myslím, trh dále </w:t>
      </w:r>
      <w:proofErr w:type="gramStart"/>
      <w:r>
        <w:rPr>
          <w:sz w:val="18"/>
          <w:szCs w:val="18"/>
        </w:rPr>
        <w:t>přibližuje ,</w:t>
      </w:r>
      <w:proofErr w:type="gramEnd"/>
      <w:r>
        <w:rPr>
          <w:sz w:val="18"/>
          <w:szCs w:val="18"/>
        </w:rPr>
        <w:t xml:space="preserve"> </w:t>
      </w:r>
      <w:proofErr w:type="spellStart"/>
      <w:r>
        <w:rPr>
          <w:sz w:val="18"/>
          <w:szCs w:val="18"/>
        </w:rPr>
        <w:t>vmpským</w:t>
      </w:r>
      <w:proofErr w:type="spellEnd"/>
      <w:r>
        <w:rPr>
          <w:sz w:val="18"/>
          <w:szCs w:val="18"/>
        </w:rPr>
        <w:t xml:space="preserve"> standardům; dále se rozevírají nůžky mezi náklady bestsellerů a průměrných ■ i podprůměrných knih, zvyšuje se </w:t>
      </w:r>
      <w:proofErr w:type="spellStart"/>
      <w:r>
        <w:rPr>
          <w:sz w:val="18"/>
          <w:szCs w:val="18"/>
        </w:rPr>
        <w:t>konkurenčnost</w:t>
      </w:r>
      <w:proofErr w:type="spellEnd"/>
      <w:r>
        <w:rPr>
          <w:sz w:val="18"/>
          <w:szCs w:val="18"/>
        </w:rPr>
        <w:t xml:space="preserve"> prostředí, zvyšují se částky, které jsou </w:t>
      </w:r>
      <w:proofErr w:type="spellStart"/>
      <w:r>
        <w:rPr>
          <w:sz w:val="18"/>
          <w:szCs w:val="18"/>
        </w:rPr>
        <w:t>o.ik</w:t>
      </w:r>
      <w:proofErr w:type="spellEnd"/>
      <w:r>
        <w:rPr>
          <w:sz w:val="18"/>
          <w:szCs w:val="18"/>
        </w:rPr>
        <w:t xml:space="preserve"> </w:t>
      </w:r>
      <w:proofErr w:type="spellStart"/>
      <w:r>
        <w:rPr>
          <w:sz w:val="18"/>
          <w:szCs w:val="18"/>
        </w:rPr>
        <w:t>ladatelé</w:t>
      </w:r>
      <w:proofErr w:type="spellEnd"/>
      <w:r>
        <w:rPr>
          <w:sz w:val="18"/>
          <w:szCs w:val="18"/>
        </w:rPr>
        <w:t xml:space="preserve"> ochotni utratit za práva k bestsellerům, hledají se nové cesty v marketingu.</w:t>
      </w:r>
    </w:p>
    <w:p w14:paraId="78DB37C2" w14:textId="77777777" w:rsidR="00845B18" w:rsidRDefault="00000000">
      <w:pPr>
        <w:pStyle w:val="Zkladntext20"/>
        <w:framePr w:w="6974" w:h="3528" w:hRule="exact" w:wrap="none" w:vAnchor="page" w:hAnchor="page" w:x="396" w:y="5971"/>
        <w:numPr>
          <w:ilvl w:val="0"/>
          <w:numId w:val="8"/>
        </w:numPr>
        <w:shd w:val="clear" w:color="auto" w:fill="auto"/>
        <w:tabs>
          <w:tab w:val="left" w:pos="169"/>
        </w:tabs>
        <w:spacing w:after="120" w:line="290" w:lineRule="auto"/>
        <w:rPr>
          <w:sz w:val="18"/>
          <w:szCs w:val="18"/>
        </w:rPr>
      </w:pPr>
      <w:proofErr w:type="gramStart"/>
      <w:r>
        <w:rPr>
          <w:sz w:val="18"/>
          <w:szCs w:val="18"/>
        </w:rPr>
        <w:t>&gt;i</w:t>
      </w:r>
      <w:proofErr w:type="gramEnd"/>
      <w:r>
        <w:rPr>
          <w:sz w:val="18"/>
          <w:szCs w:val="18"/>
        </w:rPr>
        <w:t xml:space="preserve"> libým zásadním vlivem je nástup elektronických knih, které nutí nakladatele znovu </w:t>
      </w:r>
      <w:proofErr w:type="spellStart"/>
      <w:r>
        <w:rPr>
          <w:sz w:val="18"/>
          <w:szCs w:val="18"/>
        </w:rPr>
        <w:t>piomýšlet</w:t>
      </w:r>
      <w:proofErr w:type="spellEnd"/>
      <w:r>
        <w:rPr>
          <w:sz w:val="18"/>
          <w:szCs w:val="18"/>
        </w:rPr>
        <w:t xml:space="preserve"> mnoho základních výrobních i obchodních strategií.</w:t>
      </w:r>
    </w:p>
    <w:p w14:paraId="0CF710AE" w14:textId="77777777" w:rsidR="00845B18" w:rsidRDefault="00000000">
      <w:pPr>
        <w:pStyle w:val="Zkladntext20"/>
        <w:framePr w:w="6974" w:h="3528" w:hRule="exact" w:wrap="none" w:vAnchor="page" w:hAnchor="page" w:x="396" w:y="5971"/>
        <w:shd w:val="clear" w:color="auto" w:fill="auto"/>
        <w:spacing w:after="0" w:line="290" w:lineRule="auto"/>
        <w:ind w:firstLine="200"/>
        <w:rPr>
          <w:sz w:val="18"/>
          <w:szCs w:val="18"/>
        </w:rPr>
      </w:pPr>
      <w:r>
        <w:rPr>
          <w:sz w:val="18"/>
          <w:szCs w:val="18"/>
        </w:rPr>
        <w:t xml:space="preserve">V čem se český knižní trh stále ještě liší, je míra koncentrace vlastnictví. Myslím proto, /v </w:t>
      </w:r>
      <w:proofErr w:type="spellStart"/>
      <w:r>
        <w:rPr>
          <w:sz w:val="18"/>
          <w:szCs w:val="18"/>
        </w:rPr>
        <w:t>v</w:t>
      </w:r>
      <w:proofErr w:type="spellEnd"/>
      <w:r>
        <w:rPr>
          <w:sz w:val="18"/>
          <w:szCs w:val="18"/>
        </w:rPr>
        <w:t xml:space="preserve"> příštích pěti deseti letech budeme svědky posilování velkých a úspěšných firem na</w:t>
      </w:r>
    </w:p>
    <w:p w14:paraId="7D4798C8" w14:textId="77777777" w:rsidR="00845B18" w:rsidRDefault="00000000">
      <w:pPr>
        <w:pStyle w:val="Zkladntext20"/>
        <w:framePr w:w="6974" w:h="3528" w:hRule="exact" w:wrap="none" w:vAnchor="page" w:hAnchor="page" w:x="396" w:y="5971"/>
        <w:numPr>
          <w:ilvl w:val="0"/>
          <w:numId w:val="8"/>
        </w:numPr>
        <w:shd w:val="clear" w:color="auto" w:fill="auto"/>
        <w:tabs>
          <w:tab w:val="left" w:pos="217"/>
        </w:tabs>
        <w:spacing w:after="0" w:line="290" w:lineRule="auto"/>
        <w:rPr>
          <w:sz w:val="18"/>
          <w:szCs w:val="18"/>
        </w:rPr>
      </w:pPr>
      <w:proofErr w:type="spellStart"/>
      <w:r>
        <w:rPr>
          <w:sz w:val="17"/>
          <w:szCs w:val="17"/>
        </w:rPr>
        <w:t>koi</w:t>
      </w:r>
      <w:proofErr w:type="spellEnd"/>
      <w:r>
        <w:rPr>
          <w:sz w:val="17"/>
          <w:szCs w:val="17"/>
        </w:rPr>
        <w:t xml:space="preserve"> </w:t>
      </w:r>
      <w:proofErr w:type="spellStart"/>
      <w:r>
        <w:rPr>
          <w:sz w:val="18"/>
          <w:szCs w:val="18"/>
        </w:rPr>
        <w:t>léch</w:t>
      </w:r>
      <w:proofErr w:type="spellEnd"/>
      <w:r>
        <w:rPr>
          <w:sz w:val="18"/>
          <w:szCs w:val="18"/>
        </w:rPr>
        <w:t xml:space="preserve"> průměrných, ať už formou akvizic nebo růstu a zvyšování tržního podílu </w:t>
      </w:r>
      <w:proofErr w:type="gramStart"/>
      <w:r>
        <w:rPr>
          <w:sz w:val="18"/>
          <w:szCs w:val="18"/>
        </w:rPr>
        <w:t xml:space="preserve">jednot- </w:t>
      </w:r>
      <w:proofErr w:type="spellStart"/>
      <w:r>
        <w:rPr>
          <w:sz w:val="18"/>
          <w:szCs w:val="18"/>
        </w:rPr>
        <w:t>livýi</w:t>
      </w:r>
      <w:proofErr w:type="spellEnd"/>
      <w:proofErr w:type="gramEnd"/>
      <w:r>
        <w:rPr>
          <w:sz w:val="18"/>
          <w:szCs w:val="18"/>
        </w:rPr>
        <w:t xml:space="preserve"> </w:t>
      </w:r>
      <w:r>
        <w:rPr>
          <w:sz w:val="18"/>
          <w:szCs w:val="18"/>
          <w:lang w:val="fr-FR" w:eastAsia="fr-FR" w:bidi="fr-FR"/>
        </w:rPr>
        <w:t xml:space="preserve">h </w:t>
      </w:r>
      <w:r>
        <w:rPr>
          <w:sz w:val="18"/>
          <w:szCs w:val="18"/>
        </w:rPr>
        <w:t xml:space="preserve">nakladatelských domů. Další otázkou samozřejmě je, jaký podíl získají </w:t>
      </w:r>
      <w:proofErr w:type="spellStart"/>
      <w:proofErr w:type="gramStart"/>
      <w:r>
        <w:rPr>
          <w:sz w:val="18"/>
          <w:szCs w:val="18"/>
        </w:rPr>
        <w:t>elektronic</w:t>
      </w:r>
      <w:proofErr w:type="spellEnd"/>
      <w:r>
        <w:rPr>
          <w:sz w:val="18"/>
          <w:szCs w:val="18"/>
        </w:rPr>
        <w:t>- k</w:t>
      </w:r>
      <w:proofErr w:type="gramEnd"/>
      <w:r>
        <w:rPr>
          <w:sz w:val="18"/>
          <w:szCs w:val="18"/>
        </w:rPr>
        <w:t xml:space="preserve"> i knihy na úkor papírových, či internetové obchody na úkor kamenných knihkupectví.</w:t>
      </w:r>
    </w:p>
    <w:p w14:paraId="3EBD2BFD" w14:textId="77777777" w:rsidR="00845B18" w:rsidRDefault="00000000">
      <w:pPr>
        <w:pStyle w:val="Zkladntext70"/>
        <w:framePr w:w="6974" w:h="1853" w:hRule="exact" w:wrap="none" w:vAnchor="page" w:hAnchor="page" w:x="396" w:y="9806"/>
        <w:shd w:val="clear" w:color="auto" w:fill="auto"/>
        <w:spacing w:after="0"/>
        <w:ind w:left="0"/>
        <w:jc w:val="center"/>
      </w:pPr>
      <w:r>
        <w:t>JIŘÍ ŘÍHA, NAKLADATEL,</w:t>
      </w:r>
    </w:p>
    <w:p w14:paraId="7A4D6226" w14:textId="77777777" w:rsidR="00845B18" w:rsidRDefault="00000000">
      <w:pPr>
        <w:pStyle w:val="Zkladntext70"/>
        <w:framePr w:w="6974" w:h="1853" w:hRule="exact" w:wrap="none" w:vAnchor="page" w:hAnchor="page" w:x="396" w:y="9806"/>
        <w:shd w:val="clear" w:color="auto" w:fill="auto"/>
        <w:spacing w:after="180"/>
        <w:ind w:left="0"/>
        <w:jc w:val="center"/>
      </w:pPr>
      <w:r>
        <w:t>SPOLUMAJITEL NAKLADATELSTVÍ CYKLOKNIHY</w:t>
      </w:r>
    </w:p>
    <w:p w14:paraId="05BB3276" w14:textId="77777777" w:rsidR="00845B18" w:rsidRDefault="00000000">
      <w:pPr>
        <w:pStyle w:val="Zkladntext20"/>
        <w:framePr w:w="6974" w:h="1853" w:hRule="exact" w:wrap="none" w:vAnchor="page" w:hAnchor="page" w:x="396" w:y="9806"/>
        <w:shd w:val="clear" w:color="auto" w:fill="auto"/>
        <w:spacing w:after="0" w:line="290" w:lineRule="auto"/>
        <w:rPr>
          <w:sz w:val="18"/>
          <w:szCs w:val="18"/>
        </w:rPr>
      </w:pPr>
      <w:r>
        <w:rPr>
          <w:sz w:val="18"/>
          <w:szCs w:val="18"/>
        </w:rPr>
        <w:t xml:space="preserve">I Z hlediska čtenáře nikdy nebylo lépe. Vychází nepřeberné množství jedinečných titulů, I h </w:t>
      </w:r>
      <w:proofErr w:type="spellStart"/>
      <w:r>
        <w:rPr>
          <w:sz w:val="18"/>
          <w:szCs w:val="18"/>
        </w:rPr>
        <w:t>ié</w:t>
      </w:r>
      <w:proofErr w:type="spellEnd"/>
      <w:r>
        <w:rPr>
          <w:sz w:val="18"/>
          <w:szCs w:val="18"/>
        </w:rPr>
        <w:t xml:space="preserve"> už nejsou nikým zakazovány, neprocházejí brutální cenzurou a zahrnují nesmírně </w:t>
      </w:r>
      <w:proofErr w:type="spellStart"/>
      <w:proofErr w:type="gramStart"/>
      <w:r>
        <w:rPr>
          <w:sz w:val="18"/>
          <w:szCs w:val="18"/>
        </w:rPr>
        <w:t>ši</w:t>
      </w:r>
      <w:proofErr w:type="spellEnd"/>
      <w:r>
        <w:rPr>
          <w:sz w:val="18"/>
          <w:szCs w:val="18"/>
        </w:rPr>
        <w:t>- i</w:t>
      </w:r>
      <w:proofErr w:type="gramEnd"/>
      <w:r>
        <w:rPr>
          <w:sz w:val="18"/>
          <w:szCs w:val="18"/>
        </w:rPr>
        <w:t xml:space="preserve"> </w:t>
      </w:r>
      <w:proofErr w:type="spellStart"/>
      <w:r>
        <w:rPr>
          <w:sz w:val="18"/>
          <w:szCs w:val="18"/>
        </w:rPr>
        <w:t>okou</w:t>
      </w:r>
      <w:proofErr w:type="spellEnd"/>
      <w:r>
        <w:rPr>
          <w:sz w:val="18"/>
          <w:szCs w:val="18"/>
        </w:rPr>
        <w:t xml:space="preserve"> škálu tematických okruhů, lákové možnosti dříve (zhruba před dvaceti roky) nebyly. Na druhou stranu, z pohledu vydavatele, cílím trochu marnost, zda se tolik knih může pro</w:t>
      </w:r>
      <w:r>
        <w:rPr>
          <w:sz w:val="18"/>
          <w:szCs w:val="18"/>
        </w:rPr>
        <w:softHyphen/>
      </w:r>
      <w:r>
        <w:rPr>
          <w:rFonts w:ascii="Arial" w:eastAsia="Arial" w:hAnsi="Arial" w:cs="Arial"/>
          <w:sz w:val="13"/>
          <w:szCs w:val="13"/>
        </w:rPr>
        <w:t xml:space="preserve">dal </w:t>
      </w:r>
      <w:r>
        <w:rPr>
          <w:sz w:val="18"/>
          <w:szCs w:val="18"/>
        </w:rPr>
        <w:t xml:space="preserve">a doslat ke čtenářům, kladu </w:t>
      </w:r>
      <w:proofErr w:type="spellStart"/>
      <w:r>
        <w:rPr>
          <w:sz w:val="18"/>
          <w:szCs w:val="18"/>
        </w:rPr>
        <w:t>sí</w:t>
      </w:r>
      <w:proofErr w:type="spellEnd"/>
      <w:r>
        <w:rPr>
          <w:sz w:val="18"/>
          <w:szCs w:val="18"/>
        </w:rPr>
        <w:t xml:space="preserve"> otázky, jak zařídit, aby se ty zajímavé, obsahově vysoce</w:t>
      </w:r>
    </w:p>
    <w:p w14:paraId="798B86A5" w14:textId="77777777" w:rsidR="00845B18" w:rsidRDefault="00845B18">
      <w:pPr>
        <w:spacing w:line="14" w:lineRule="exact"/>
        <w:sectPr w:rsidR="00845B18">
          <w:pgSz w:w="8400" w:h="11900"/>
          <w:pgMar w:top="360" w:right="360" w:bottom="360" w:left="360" w:header="0" w:footer="3" w:gutter="0"/>
          <w:cols w:space="720"/>
          <w:noEndnote/>
          <w:docGrid w:linePitch="360"/>
        </w:sectPr>
      </w:pPr>
    </w:p>
    <w:p w14:paraId="78B96777" w14:textId="77777777" w:rsidR="00845B18" w:rsidRDefault="00000000">
      <w:pPr>
        <w:spacing w:line="14" w:lineRule="exact"/>
      </w:pPr>
      <w:r>
        <w:rPr>
          <w:noProof/>
        </w:rPr>
        <w:lastRenderedPageBreak/>
        <mc:AlternateContent>
          <mc:Choice Requires="wps">
            <w:drawing>
              <wp:anchor distT="0" distB="0" distL="114300" distR="114300" simplePos="0" relativeHeight="251657216" behindDoc="1" locked="0" layoutInCell="1" allowOverlap="1" wp14:anchorId="064CE857" wp14:editId="4F7A1604">
                <wp:simplePos x="0" y="0"/>
                <wp:positionH relativeFrom="page">
                  <wp:posOffset>689610</wp:posOffset>
                </wp:positionH>
                <wp:positionV relativeFrom="page">
                  <wp:posOffset>297815</wp:posOffset>
                </wp:positionV>
                <wp:extent cx="4355465" cy="0"/>
                <wp:effectExtent l="0" t="0" r="0" b="0"/>
                <wp:wrapNone/>
                <wp:docPr id="22" name="Shape 22"/>
                <wp:cNvGraphicFramePr/>
                <a:graphic xmlns:a="http://schemas.openxmlformats.org/drawingml/2006/main">
                  <a:graphicData uri="http://schemas.microsoft.com/office/word/2010/wordprocessingShape">
                    <wps:wsp>
                      <wps:cNvCnPr/>
                      <wps:spPr>
                        <a:xfrm>
                          <a:off x="0" y="0"/>
                          <a:ext cx="4355465" cy="0"/>
                        </a:xfrm>
                        <a:prstGeom prst="straightConnector1">
                          <a:avLst/>
                        </a:prstGeom>
                        <a:ln w="6350">
                          <a:solidFill/>
                        </a:ln>
                      </wps:spPr>
                      <wps:bodyPr/>
                    </wps:wsp>
                  </a:graphicData>
                </a:graphic>
              </wp:anchor>
            </w:drawing>
          </mc:Choice>
          <mc:Fallback>
            <w:pict>
              <v:shape o:spt="32" o:oned="1" path="m,l21600,21600e" style="position:absolute;margin-left:54.299999999999997pt;margin-top:23.449999999999999pt;width:342.94999999999999pt;height:0;z-index:-251658240;mso-position-horizontal-relative:page;mso-position-vertical-relative:page">
                <v:stroke weight="0.5pt"/>
              </v:shape>
            </w:pict>
          </mc:Fallback>
        </mc:AlternateContent>
      </w:r>
    </w:p>
    <w:p w14:paraId="7BC3466C" w14:textId="77777777" w:rsidR="00845B18" w:rsidRDefault="00000000">
      <w:pPr>
        <w:pStyle w:val="Zhlavnebozpat0"/>
        <w:framePr w:wrap="none" w:vAnchor="page" w:hAnchor="page" w:x="4389" w:y="154"/>
        <w:shd w:val="clear" w:color="auto" w:fill="auto"/>
        <w:rPr>
          <w:sz w:val="17"/>
          <w:szCs w:val="17"/>
        </w:rPr>
      </w:pPr>
      <w:r>
        <w:rPr>
          <w:sz w:val="17"/>
          <w:szCs w:val="17"/>
        </w:rPr>
        <w:t>[32)</w:t>
      </w:r>
    </w:p>
    <w:p w14:paraId="0D71A9BA" w14:textId="77777777" w:rsidR="00845B18" w:rsidRDefault="00000000">
      <w:pPr>
        <w:pStyle w:val="Zkladntext20"/>
        <w:framePr w:w="7018" w:h="9538" w:hRule="exact" w:wrap="none" w:vAnchor="page" w:hAnchor="page" w:x="1010" w:y="638"/>
        <w:shd w:val="clear" w:color="auto" w:fill="auto"/>
        <w:spacing w:after="120" w:line="290" w:lineRule="auto"/>
        <w:rPr>
          <w:sz w:val="18"/>
          <w:szCs w:val="18"/>
        </w:rPr>
      </w:pPr>
      <w:r>
        <w:rPr>
          <w:sz w:val="18"/>
          <w:szCs w:val="18"/>
        </w:rPr>
        <w:t>hodnotné (problémem je zjištění míry hodnotnosti), u kterých nakladatel nemá prostředky na mohutnou propagaci, dostaly ke čtenářům. Je to džungle, kde velká nakladatelství se sil</w:t>
      </w:r>
      <w:r>
        <w:rPr>
          <w:sz w:val="18"/>
          <w:szCs w:val="18"/>
        </w:rPr>
        <w:softHyphen/>
        <w:t>nějším ekonomickým zázemím mají převahu, ale ta menší statečně vzdorují. Jestli existuje v nějakém oboru kapitalismus v ryzí podobě, pak je to knižní trh. O vydání nebo nevy</w:t>
      </w:r>
      <w:r>
        <w:rPr>
          <w:sz w:val="18"/>
          <w:szCs w:val="18"/>
        </w:rPr>
        <w:softHyphen/>
        <w:t>dání knihy rozhodují dnes pouze peníze, žádný jiný mechanismus její vydání neomezuje.</w:t>
      </w:r>
    </w:p>
    <w:p w14:paraId="5C890E39" w14:textId="77777777" w:rsidR="00845B18" w:rsidRDefault="00000000">
      <w:pPr>
        <w:pStyle w:val="Zkladntext20"/>
        <w:framePr w:w="7018" w:h="9538" w:hRule="exact" w:wrap="none" w:vAnchor="page" w:hAnchor="page" w:x="1010" w:y="638"/>
        <w:numPr>
          <w:ilvl w:val="0"/>
          <w:numId w:val="7"/>
        </w:numPr>
        <w:shd w:val="clear" w:color="auto" w:fill="auto"/>
        <w:tabs>
          <w:tab w:val="left" w:pos="274"/>
        </w:tabs>
        <w:spacing w:after="400" w:line="288" w:lineRule="auto"/>
        <w:rPr>
          <w:sz w:val="18"/>
          <w:szCs w:val="18"/>
        </w:rPr>
      </w:pPr>
      <w:r>
        <w:rPr>
          <w:sz w:val="18"/>
          <w:szCs w:val="18"/>
        </w:rPr>
        <w:t>Tíha prodeje vydaných titulů se nyní přesouvá více na nakladatele, kteří se musí sna</w:t>
      </w:r>
      <w:r>
        <w:rPr>
          <w:sz w:val="18"/>
          <w:szCs w:val="18"/>
        </w:rPr>
        <w:softHyphen/>
        <w:t xml:space="preserve">žit, aby svou produkci prodali sami. Tady je ještě velká příležitost pro prodej pomocí e-shopů. Kamenná knihkupectví budou spíše ustupovat ze scény a prodej literatury se přesune více k zásilkovému způsobu. Poslední okruh otázek kolem vývoje knižního trhu se nepochybně bude točit okolo e-knih. Nástup čtení v elektronické podobě nebyl tak překotný, jak se předpovídalo, a osobně </w:t>
      </w:r>
      <w:r>
        <w:rPr>
          <w:sz w:val="18"/>
          <w:szCs w:val="18"/>
          <w:lang w:val="fr-FR" w:eastAsia="fr-FR" w:bidi="fr-FR"/>
        </w:rPr>
        <w:t xml:space="preserve">si </w:t>
      </w:r>
      <w:r>
        <w:rPr>
          <w:sz w:val="18"/>
          <w:szCs w:val="18"/>
        </w:rPr>
        <w:t>myslím, že zůstane doménou pouze určité</w:t>
      </w:r>
      <w:r>
        <w:rPr>
          <w:sz w:val="18"/>
          <w:szCs w:val="18"/>
        </w:rPr>
        <w:softHyphen/>
        <w:t>ho druhu literatury, zejména odborné (skripta, školní učebnice, encyklopedie). Krásná, dobře vypravená kniha z trhu jen tak nevymizí.</w:t>
      </w:r>
    </w:p>
    <w:p w14:paraId="10F38FC1" w14:textId="77777777" w:rsidR="00845B18" w:rsidRDefault="00000000">
      <w:pPr>
        <w:pStyle w:val="Zkladntext70"/>
        <w:framePr w:w="7018" w:h="9538" w:hRule="exact" w:wrap="none" w:vAnchor="page" w:hAnchor="page" w:x="1010" w:y="638"/>
        <w:shd w:val="clear" w:color="auto" w:fill="auto"/>
        <w:spacing w:after="180"/>
        <w:ind w:left="0"/>
        <w:jc w:val="center"/>
      </w:pPr>
      <w:r>
        <w:t>JAN ŠULC, REDAKTOR NAKLADATELSTVÍ TORST</w:t>
      </w:r>
    </w:p>
    <w:p w14:paraId="6ADE99EE" w14:textId="77777777" w:rsidR="00845B18" w:rsidRDefault="00000000">
      <w:pPr>
        <w:pStyle w:val="Zkladntext20"/>
        <w:framePr w:w="7018" w:h="9538" w:hRule="exact" w:wrap="none" w:vAnchor="page" w:hAnchor="page" w:x="1010" w:y="638"/>
        <w:numPr>
          <w:ilvl w:val="0"/>
          <w:numId w:val="9"/>
        </w:numPr>
        <w:shd w:val="clear" w:color="auto" w:fill="auto"/>
        <w:tabs>
          <w:tab w:val="left" w:pos="279"/>
        </w:tabs>
        <w:spacing w:after="120" w:line="290" w:lineRule="auto"/>
        <w:rPr>
          <w:sz w:val="18"/>
          <w:szCs w:val="18"/>
        </w:rPr>
      </w:pPr>
      <w:r>
        <w:rPr>
          <w:sz w:val="18"/>
          <w:szCs w:val="18"/>
        </w:rPr>
        <w:t>Při prvním pohledu na současný český knižní trh v Praze jsem ohromen bohatstvím vydávaných knih, jejich pestrostí i obsahovou kvalitou. Přesto jsou i na takto překypují</w:t>
      </w:r>
      <w:r>
        <w:rPr>
          <w:sz w:val="18"/>
          <w:szCs w:val="18"/>
        </w:rPr>
        <w:softHyphen/>
        <w:t>cím trhu mezery, které považuji za významné: a) chybějí nové kvalitní překlady poezie jiných národů, což je něco, co ovlivňovalo českou literaturu i čtenářský vkus od druhé poloviny 19. století až do roku 1989; b) chybí čtenářsky náročnější česká literatura starší i novější, a to v kvalitních vydáních. To, co vychází z české klasiky (s výjimkou České knižnice), jsou mnohdy edičně pochybné přetisky starších vydání s mnoha chybami. Za velkou vadu českého knižního trhu považuji též nedostatek knihkupectví se čtenářsky náročnější literaturou v malých městech. Znám několik okresních měst: vývoj tamních knihkupectví je alarmující — z několika jich většinou zůstalo jen jedno, a to čtenářsky náročnější literaturu vůbec neprodává. Je to i vlivem chybné daňové politiky: naklada</w:t>
      </w:r>
      <w:r>
        <w:rPr>
          <w:sz w:val="18"/>
          <w:szCs w:val="18"/>
        </w:rPr>
        <w:softHyphen/>
        <w:t>telé, distributoři i knihkupci jsou nuceni danit neprodané zásoby, což vede k rychlému „otáčení“ knih na pultech a k nedostatku kontinuity v prodeji.</w:t>
      </w:r>
    </w:p>
    <w:p w14:paraId="78C42FDA" w14:textId="77777777" w:rsidR="00845B18" w:rsidRDefault="00000000">
      <w:pPr>
        <w:pStyle w:val="Zkladntext20"/>
        <w:framePr w:w="7018" w:h="9538" w:hRule="exact" w:wrap="none" w:vAnchor="page" w:hAnchor="page" w:x="1010" w:y="638"/>
        <w:numPr>
          <w:ilvl w:val="0"/>
          <w:numId w:val="9"/>
        </w:numPr>
        <w:shd w:val="clear" w:color="auto" w:fill="auto"/>
        <w:tabs>
          <w:tab w:val="left" w:pos="284"/>
        </w:tabs>
        <w:spacing w:after="0" w:line="288" w:lineRule="auto"/>
        <w:rPr>
          <w:sz w:val="18"/>
          <w:szCs w:val="18"/>
        </w:rPr>
      </w:pPr>
      <w:r>
        <w:rPr>
          <w:sz w:val="18"/>
          <w:szCs w:val="18"/>
        </w:rPr>
        <w:t>Očekávám úbytek „kamenných“ antikvariátů a přibývání antikvariátů internetových. Stejně tak očekávám úbytek dobře vedených knihkupectví se čtenářsky náročnější lite</w:t>
      </w:r>
      <w:r>
        <w:rPr>
          <w:sz w:val="18"/>
          <w:szCs w:val="18"/>
        </w:rPr>
        <w:softHyphen/>
        <w:t>raturou, většinou zůstanou jen knihkupectví s literaturou zábavnou, oddechovou a s pří</w:t>
      </w:r>
      <w:r>
        <w:rPr>
          <w:sz w:val="18"/>
          <w:szCs w:val="18"/>
        </w:rPr>
        <w:softHyphen/>
        <w:t xml:space="preserve">ručkami. Knihkupectví se čtenářsky náročnější literaturou zůstanou nakonec většinou jen v univerzitních městech, i když samozřejmě výjimky budou i ve městech menších a já </w:t>
      </w:r>
      <w:r>
        <w:rPr>
          <w:sz w:val="18"/>
          <w:szCs w:val="18"/>
          <w:lang w:val="fr-FR" w:eastAsia="fr-FR" w:bidi="fr-FR"/>
        </w:rPr>
        <w:t xml:space="preserve">si </w:t>
      </w:r>
      <w:r>
        <w:rPr>
          <w:sz w:val="18"/>
          <w:szCs w:val="18"/>
        </w:rPr>
        <w:t>je velmi přeji! Obecně: vzroste význam nakupování knih pomocí internetu, a to jak u knih antikvárních, kde zcela převáží, tak u knih nových, které nebude ve většině měst možno sehnat jinak než s pomocí internetu.</w:t>
      </w:r>
    </w:p>
    <w:p w14:paraId="196CA9B8" w14:textId="77777777" w:rsidR="00845B18" w:rsidRDefault="00000000">
      <w:pPr>
        <w:pStyle w:val="Zkladntext70"/>
        <w:framePr w:w="7018" w:h="1157" w:hRule="exact" w:wrap="none" w:vAnchor="page" w:hAnchor="page" w:x="1010" w:y="10531"/>
        <w:shd w:val="clear" w:color="auto" w:fill="auto"/>
        <w:spacing w:after="180"/>
        <w:ind w:left="0"/>
        <w:jc w:val="center"/>
      </w:pPr>
      <w:r>
        <w:t>MAREK TURŇA, MAJITEL NAKLADATELSTVÍ KNIHA ZLÍN</w:t>
      </w:r>
    </w:p>
    <w:p w14:paraId="78B7C47E" w14:textId="77777777" w:rsidR="00845B18" w:rsidRDefault="00000000">
      <w:pPr>
        <w:pStyle w:val="Zkladntext20"/>
        <w:framePr w:w="7018" w:h="1157" w:hRule="exact" w:wrap="none" w:vAnchor="page" w:hAnchor="page" w:x="1010" w:y="10531"/>
        <w:shd w:val="clear" w:color="auto" w:fill="auto"/>
        <w:spacing w:after="0" w:line="290" w:lineRule="auto"/>
        <w:rPr>
          <w:sz w:val="18"/>
          <w:szCs w:val="18"/>
        </w:rPr>
      </w:pPr>
      <w:r>
        <w:rPr>
          <w:sz w:val="18"/>
          <w:szCs w:val="18"/>
        </w:rPr>
        <w:t xml:space="preserve">1. Současný český knižní trh vnímám jako celkem funkční, z mého pohledu rozdělený mezi pěl až. šest hlavních distributorů (Kosmas, </w:t>
      </w:r>
      <w:proofErr w:type="spellStart"/>
      <w:r>
        <w:rPr>
          <w:sz w:val="18"/>
          <w:szCs w:val="18"/>
        </w:rPr>
        <w:t>Euromedia</w:t>
      </w:r>
      <w:proofErr w:type="spellEnd"/>
      <w:r>
        <w:rPr>
          <w:sz w:val="18"/>
          <w:szCs w:val="18"/>
        </w:rPr>
        <w:t xml:space="preserve">, </w:t>
      </w:r>
      <w:proofErr w:type="spellStart"/>
      <w:r>
        <w:rPr>
          <w:sz w:val="18"/>
          <w:szCs w:val="18"/>
        </w:rPr>
        <w:t>Pcmic</w:t>
      </w:r>
      <w:proofErr w:type="spellEnd"/>
      <w:r>
        <w:rPr>
          <w:sz w:val="18"/>
          <w:szCs w:val="18"/>
        </w:rPr>
        <w:t xml:space="preserve">, Bela Dobrovský, </w:t>
      </w:r>
      <w:proofErr w:type="spellStart"/>
      <w:r>
        <w:rPr>
          <w:sz w:val="18"/>
          <w:szCs w:val="18"/>
        </w:rPr>
        <w:t>Kanzelsbergcr</w:t>
      </w:r>
      <w:proofErr w:type="spellEnd"/>
      <w:r>
        <w:rPr>
          <w:sz w:val="18"/>
          <w:szCs w:val="18"/>
        </w:rPr>
        <w:t>). Jako hlavní nedostatek vnímám zadrhávání peněžních loků mezi</w:t>
      </w:r>
    </w:p>
    <w:p w14:paraId="3CFA0F02" w14:textId="77777777" w:rsidR="00845B18" w:rsidRDefault="00845B18">
      <w:pPr>
        <w:spacing w:line="14" w:lineRule="exact"/>
        <w:sectPr w:rsidR="00845B18">
          <w:pgSz w:w="8400" w:h="11900"/>
          <w:pgMar w:top="360" w:right="360" w:bottom="360" w:left="360" w:header="0" w:footer="3" w:gutter="0"/>
          <w:cols w:space="720"/>
          <w:noEndnote/>
          <w:docGrid w:linePitch="360"/>
        </w:sectPr>
      </w:pPr>
    </w:p>
    <w:p w14:paraId="601E95AB" w14:textId="77777777" w:rsidR="00845B18" w:rsidRDefault="00000000">
      <w:pPr>
        <w:spacing w:line="14" w:lineRule="exact"/>
      </w:pPr>
      <w:r>
        <w:rPr>
          <w:noProof/>
        </w:rPr>
        <w:lastRenderedPageBreak/>
        <mc:AlternateContent>
          <mc:Choice Requires="wps">
            <w:drawing>
              <wp:anchor distT="0" distB="0" distL="114300" distR="114300" simplePos="0" relativeHeight="251658240" behindDoc="1" locked="0" layoutInCell="1" allowOverlap="1" wp14:anchorId="19AB6B13" wp14:editId="603786A6">
                <wp:simplePos x="0" y="0"/>
                <wp:positionH relativeFrom="page">
                  <wp:posOffset>624205</wp:posOffset>
                </wp:positionH>
                <wp:positionV relativeFrom="page">
                  <wp:posOffset>300990</wp:posOffset>
                </wp:positionV>
                <wp:extent cx="4032250" cy="0"/>
                <wp:effectExtent l="0" t="0" r="0" b="0"/>
                <wp:wrapNone/>
                <wp:docPr id="23" name="Shape 23"/>
                <wp:cNvGraphicFramePr/>
                <a:graphic xmlns:a="http://schemas.openxmlformats.org/drawingml/2006/main">
                  <a:graphicData uri="http://schemas.microsoft.com/office/word/2010/wordprocessingShape">
                    <wps:wsp>
                      <wps:cNvCnPr/>
                      <wps:spPr>
                        <a:xfrm>
                          <a:off x="0" y="0"/>
                          <a:ext cx="4032250" cy="0"/>
                        </a:xfrm>
                        <a:prstGeom prst="straightConnector1">
                          <a:avLst/>
                        </a:prstGeom>
                        <a:ln w="8890">
                          <a:solidFill/>
                        </a:ln>
                      </wps:spPr>
                      <wps:bodyPr/>
                    </wps:wsp>
                  </a:graphicData>
                </a:graphic>
              </wp:anchor>
            </w:drawing>
          </mc:Choice>
          <mc:Fallback>
            <w:pict>
              <v:shape o:spt="32" o:oned="1" path="m,l21600,21600e" style="position:absolute;margin-left:49.149999999999999pt;margin-top:23.699999999999999pt;width:317.5pt;height:0;z-index:-251658240;mso-position-horizontal-relative:page;mso-position-vertical-relative:page">
                <v:stroke weight="0.69999999999999996pt"/>
              </v:shape>
            </w:pict>
          </mc:Fallback>
        </mc:AlternateContent>
      </w:r>
    </w:p>
    <w:p w14:paraId="1060A813" w14:textId="77777777" w:rsidR="00845B18" w:rsidRDefault="00000000">
      <w:pPr>
        <w:pStyle w:val="Zhlavnebozpat0"/>
        <w:framePr w:wrap="none" w:vAnchor="page" w:hAnchor="page" w:x="3720" w:y="149"/>
        <w:shd w:val="clear" w:color="auto" w:fill="auto"/>
        <w:rPr>
          <w:sz w:val="18"/>
          <w:szCs w:val="18"/>
        </w:rPr>
      </w:pPr>
      <w:r>
        <w:rPr>
          <w:sz w:val="18"/>
          <w:szCs w:val="18"/>
        </w:rPr>
        <w:t>l33l</w:t>
      </w:r>
    </w:p>
    <w:p w14:paraId="671CAA68" w14:textId="77777777" w:rsidR="00845B18" w:rsidRDefault="00000000">
      <w:pPr>
        <w:pStyle w:val="Zkladntext20"/>
        <w:framePr w:w="6941" w:h="1910" w:hRule="exact" w:wrap="none" w:vAnchor="page" w:hAnchor="page" w:x="413" w:y="643"/>
        <w:shd w:val="clear" w:color="auto" w:fill="auto"/>
        <w:spacing w:after="100" w:line="336" w:lineRule="auto"/>
        <w:rPr>
          <w:sz w:val="18"/>
          <w:szCs w:val="18"/>
        </w:rPr>
      </w:pPr>
      <w:r>
        <w:rPr>
          <w:sz w:val="18"/>
          <w:szCs w:val="18"/>
        </w:rPr>
        <w:t xml:space="preserve">I ni </w:t>
      </w:r>
      <w:proofErr w:type="spellStart"/>
      <w:r>
        <w:rPr>
          <w:sz w:val="18"/>
          <w:szCs w:val="18"/>
        </w:rPr>
        <w:t>li</w:t>
      </w:r>
      <w:proofErr w:type="spellEnd"/>
      <w:r>
        <w:rPr>
          <w:sz w:val="18"/>
          <w:szCs w:val="18"/>
        </w:rPr>
        <w:t xml:space="preserve"> kupci a nakladateli, zpožďování plateb, jejich dohánění v „bohatých“ obdobích (Va</w:t>
      </w:r>
      <w:r>
        <w:rPr>
          <w:sz w:val="18"/>
          <w:szCs w:val="18"/>
        </w:rPr>
        <w:softHyphen/>
      </w:r>
      <w:r>
        <w:rPr>
          <w:rFonts w:ascii="Arial" w:eastAsia="Arial" w:hAnsi="Arial" w:cs="Arial"/>
          <w:sz w:val="13"/>
          <w:szCs w:val="13"/>
        </w:rPr>
        <w:t xml:space="preserve">nut </w:t>
      </w:r>
      <w:r>
        <w:rPr>
          <w:sz w:val="18"/>
          <w:szCs w:val="18"/>
        </w:rPr>
        <w:t xml:space="preserve">e), aby se pak zase zpomalily. Na druhou stranu toky mezi nakladatelem a </w:t>
      </w:r>
      <w:proofErr w:type="spellStart"/>
      <w:proofErr w:type="gramStart"/>
      <w:r>
        <w:rPr>
          <w:sz w:val="18"/>
          <w:szCs w:val="18"/>
        </w:rPr>
        <w:t>distribu</w:t>
      </w:r>
      <w:proofErr w:type="spellEnd"/>
      <w:r>
        <w:rPr>
          <w:sz w:val="18"/>
          <w:szCs w:val="18"/>
        </w:rPr>
        <w:t xml:space="preserve">- </w:t>
      </w:r>
      <w:r>
        <w:rPr>
          <w:rFonts w:ascii="Arial" w:eastAsia="Arial" w:hAnsi="Arial" w:cs="Arial"/>
          <w:sz w:val="13"/>
          <w:szCs w:val="13"/>
        </w:rPr>
        <w:t>i</w:t>
      </w:r>
      <w:proofErr w:type="gramEnd"/>
      <w:r>
        <w:rPr>
          <w:rFonts w:ascii="Arial" w:eastAsia="Arial" w:hAnsi="Arial" w:cs="Arial"/>
          <w:sz w:val="13"/>
          <w:szCs w:val="13"/>
        </w:rPr>
        <w:t xml:space="preserve"> </w:t>
      </w:r>
      <w:r>
        <w:rPr>
          <w:rFonts w:ascii="Arial" w:eastAsia="Arial" w:hAnsi="Arial" w:cs="Arial"/>
          <w:sz w:val="13"/>
          <w:szCs w:val="13"/>
          <w:lang w:val="fr-FR" w:eastAsia="fr-FR" w:bidi="fr-FR"/>
        </w:rPr>
        <w:t xml:space="preserve">ni y </w:t>
      </w:r>
      <w:r>
        <w:rPr>
          <w:rFonts w:ascii="Arial" w:eastAsia="Arial" w:hAnsi="Arial" w:cs="Arial"/>
          <w:sz w:val="13"/>
          <w:szCs w:val="13"/>
        </w:rPr>
        <w:t xml:space="preserve">jsou </w:t>
      </w:r>
      <w:r>
        <w:rPr>
          <w:sz w:val="18"/>
          <w:szCs w:val="18"/>
        </w:rPr>
        <w:t>bezproblémové. Součástí našich prodejů je i elektronický trh, který je pro nás duh /</w:t>
      </w:r>
      <w:proofErr w:type="spellStart"/>
      <w:r>
        <w:rPr>
          <w:sz w:val="18"/>
          <w:szCs w:val="18"/>
        </w:rPr>
        <w:t>itý</w:t>
      </w:r>
      <w:proofErr w:type="spellEnd"/>
      <w:r>
        <w:rPr>
          <w:sz w:val="18"/>
          <w:szCs w:val="18"/>
        </w:rPr>
        <w:t xml:space="preserve"> a stále narůstá (i když už ne tak rychle jako v roce 2012).</w:t>
      </w:r>
    </w:p>
    <w:p w14:paraId="51C238E3" w14:textId="77777777" w:rsidR="00845B18" w:rsidRDefault="00000000">
      <w:pPr>
        <w:pStyle w:val="Zkladntext20"/>
        <w:framePr w:w="6941" w:h="1910" w:hRule="exact" w:wrap="none" w:vAnchor="page" w:hAnchor="page" w:x="413" w:y="643"/>
        <w:shd w:val="clear" w:color="auto" w:fill="auto"/>
        <w:spacing w:after="0" w:line="322" w:lineRule="auto"/>
        <w:ind w:firstLine="220"/>
        <w:jc w:val="left"/>
        <w:rPr>
          <w:sz w:val="18"/>
          <w:szCs w:val="18"/>
        </w:rPr>
      </w:pPr>
      <w:proofErr w:type="gramStart"/>
      <w:r>
        <w:rPr>
          <w:sz w:val="18"/>
          <w:szCs w:val="18"/>
        </w:rPr>
        <w:t>I )</w:t>
      </w:r>
      <w:proofErr w:type="spellStart"/>
      <w:r>
        <w:rPr>
          <w:sz w:val="18"/>
          <w:szCs w:val="18"/>
        </w:rPr>
        <w:t>alší</w:t>
      </w:r>
      <w:proofErr w:type="spellEnd"/>
      <w:proofErr w:type="gramEnd"/>
      <w:r>
        <w:rPr>
          <w:sz w:val="18"/>
          <w:szCs w:val="18"/>
        </w:rPr>
        <w:t xml:space="preserve"> vývoj povede zřejmě k větší distributorské konsolidaci, ale i ke konsolidaci- . menšení „pestrosti“ vydávaných titulů. Je stále těžší knihu na trhu prosadit — </w:t>
      </w:r>
      <w:proofErr w:type="spellStart"/>
      <w:proofErr w:type="gramStart"/>
      <w:r>
        <w:rPr>
          <w:sz w:val="18"/>
          <w:szCs w:val="18"/>
        </w:rPr>
        <w:t>marke</w:t>
      </w:r>
      <w:proofErr w:type="spellEnd"/>
      <w:r>
        <w:rPr>
          <w:sz w:val="18"/>
          <w:szCs w:val="18"/>
        </w:rPr>
        <w:t xml:space="preserve">- </w:t>
      </w:r>
      <w:proofErr w:type="spellStart"/>
      <w:r>
        <w:rPr>
          <w:rFonts w:ascii="Arial" w:eastAsia="Arial" w:hAnsi="Arial" w:cs="Arial"/>
          <w:sz w:val="13"/>
          <w:szCs w:val="13"/>
        </w:rPr>
        <w:t>liligové</w:t>
      </w:r>
      <w:proofErr w:type="spellEnd"/>
      <w:proofErr w:type="gramEnd"/>
      <w:r>
        <w:rPr>
          <w:rFonts w:ascii="Arial" w:eastAsia="Arial" w:hAnsi="Arial" w:cs="Arial"/>
          <w:sz w:val="13"/>
          <w:szCs w:val="13"/>
        </w:rPr>
        <w:t xml:space="preserve"> </w:t>
      </w:r>
      <w:r>
        <w:rPr>
          <w:sz w:val="18"/>
          <w:szCs w:val="18"/>
        </w:rPr>
        <w:t>výdaje narůstají.</w:t>
      </w:r>
    </w:p>
    <w:p w14:paraId="230D45E4" w14:textId="77777777" w:rsidR="00845B18" w:rsidRDefault="00000000">
      <w:pPr>
        <w:pStyle w:val="Zkladntext70"/>
        <w:framePr w:w="6941" w:h="4589" w:hRule="exact" w:wrap="none" w:vAnchor="page" w:hAnchor="page" w:x="413" w:y="2818"/>
        <w:shd w:val="clear" w:color="auto" w:fill="auto"/>
        <w:spacing w:after="180"/>
        <w:ind w:left="0"/>
        <w:jc w:val="center"/>
        <w:rPr>
          <w:sz w:val="13"/>
          <w:szCs w:val="13"/>
        </w:rPr>
      </w:pPr>
      <w:r>
        <w:rPr>
          <w:b w:val="0"/>
          <w:bCs w:val="0"/>
          <w:sz w:val="13"/>
          <w:szCs w:val="13"/>
        </w:rPr>
        <w:t>CO Z ODPOVĚDI VYPLÝVÁ?</w:t>
      </w:r>
    </w:p>
    <w:p w14:paraId="4F3F051B" w14:textId="77777777" w:rsidR="00845B18" w:rsidRDefault="00000000">
      <w:pPr>
        <w:pStyle w:val="Zkladntext20"/>
        <w:framePr w:w="6941" w:h="4589" w:hRule="exact" w:wrap="none" w:vAnchor="page" w:hAnchor="page" w:x="413" w:y="2818"/>
        <w:shd w:val="clear" w:color="auto" w:fill="auto"/>
        <w:spacing w:after="0" w:line="290" w:lineRule="auto"/>
        <w:rPr>
          <w:sz w:val="18"/>
          <w:szCs w:val="18"/>
        </w:rPr>
      </w:pPr>
      <w:proofErr w:type="spellStart"/>
      <w:r>
        <w:rPr>
          <w:sz w:val="18"/>
          <w:szCs w:val="18"/>
        </w:rPr>
        <w:t>I’i</w:t>
      </w:r>
      <w:proofErr w:type="spellEnd"/>
      <w:r>
        <w:rPr>
          <w:sz w:val="18"/>
          <w:szCs w:val="18"/>
        </w:rPr>
        <w:t xml:space="preserve"> uniky jsou poměrně značné. Český trh se aktérům ankety jeví jako poměrně </w:t>
      </w:r>
      <w:proofErr w:type="gramStart"/>
      <w:r>
        <w:rPr>
          <w:sz w:val="18"/>
          <w:szCs w:val="18"/>
        </w:rPr>
        <w:t xml:space="preserve">nad- </w:t>
      </w:r>
      <w:proofErr w:type="spellStart"/>
      <w:r>
        <w:rPr>
          <w:sz w:val="18"/>
          <w:szCs w:val="18"/>
        </w:rPr>
        <w:t>dlinenzovaný</w:t>
      </w:r>
      <w:proofErr w:type="spellEnd"/>
      <w:proofErr w:type="gramEnd"/>
      <w:r>
        <w:rPr>
          <w:sz w:val="18"/>
          <w:szCs w:val="18"/>
        </w:rPr>
        <w:t xml:space="preserve"> („přecpaný“), trpící nedostatkem prostředků, ale přitom zároveň stabili</w:t>
      </w:r>
      <w:r>
        <w:rPr>
          <w:sz w:val="18"/>
          <w:szCs w:val="18"/>
        </w:rPr>
        <w:softHyphen/>
        <w:t xml:space="preserve">zovat </w:t>
      </w:r>
      <w:proofErr w:type="spellStart"/>
      <w:r>
        <w:rPr>
          <w:sz w:val="18"/>
          <w:szCs w:val="18"/>
        </w:rPr>
        <w:t>lý</w:t>
      </w:r>
      <w:proofErr w:type="spellEnd"/>
      <w:r>
        <w:rPr>
          <w:sz w:val="18"/>
          <w:szCs w:val="18"/>
        </w:rPr>
        <w:t xml:space="preserve"> a ve svém celku v zásadě funkční. Je konstatováno jisté organické rozdělení vlivu i liniových teritorií, současně také panující napětí mezi „velkými“ a „malými“ a zároveň </w:t>
      </w:r>
      <w:proofErr w:type="spellStart"/>
      <w:r>
        <w:rPr>
          <w:sz w:val="18"/>
          <w:szCs w:val="18"/>
        </w:rPr>
        <w:t>lu</w:t>
      </w:r>
      <w:proofErr w:type="spellEnd"/>
      <w:r>
        <w:rPr>
          <w:sz w:val="18"/>
          <w:szCs w:val="18"/>
        </w:rPr>
        <w:t xml:space="preserve">, /e postupně stále více posilují silní. Neduhy se týkají špatné platební disciplíny, ale </w:t>
      </w:r>
      <w:r>
        <w:rPr>
          <w:sz w:val="18"/>
          <w:szCs w:val="18"/>
          <w:lang w:val="fr-FR" w:eastAsia="fr-FR" w:bidi="fr-FR"/>
        </w:rPr>
        <w:t xml:space="preserve">pu </w:t>
      </w:r>
      <w:proofErr w:type="spellStart"/>
      <w:r>
        <w:rPr>
          <w:sz w:val="18"/>
          <w:szCs w:val="18"/>
        </w:rPr>
        <w:t>ilevším</w:t>
      </w:r>
      <w:proofErr w:type="spellEnd"/>
      <w:r>
        <w:rPr>
          <w:sz w:val="18"/>
          <w:szCs w:val="18"/>
        </w:rPr>
        <w:t xml:space="preserve"> koncového článku řetězce — prodeje. Konkrétně jde o obavu o osud </w:t>
      </w:r>
      <w:proofErr w:type="gramStart"/>
      <w:r>
        <w:rPr>
          <w:sz w:val="18"/>
          <w:szCs w:val="18"/>
        </w:rPr>
        <w:t>knih- I</w:t>
      </w:r>
      <w:proofErr w:type="gramEnd"/>
      <w:r>
        <w:rPr>
          <w:sz w:val="18"/>
          <w:szCs w:val="18"/>
        </w:rPr>
        <w:t xml:space="preserve"> </w:t>
      </w:r>
      <w:proofErr w:type="spellStart"/>
      <w:r>
        <w:rPr>
          <w:sz w:val="18"/>
          <w:szCs w:val="18"/>
        </w:rPr>
        <w:t>upei</w:t>
      </w:r>
      <w:proofErr w:type="spellEnd"/>
      <w:r>
        <w:rPr>
          <w:sz w:val="18"/>
          <w:szCs w:val="18"/>
        </w:rPr>
        <w:t xml:space="preserve"> lví v malých městech. Nutno však poznamenat, že napětí Praha versus zbytek </w:t>
      </w:r>
      <w:proofErr w:type="spellStart"/>
      <w:r>
        <w:rPr>
          <w:sz w:val="18"/>
          <w:szCs w:val="18"/>
        </w:rPr>
        <w:t>čes</w:t>
      </w:r>
      <w:proofErr w:type="spellEnd"/>
      <w:r>
        <w:rPr>
          <w:sz w:val="18"/>
          <w:szCs w:val="18"/>
        </w:rPr>
        <w:t>-</w:t>
      </w:r>
    </w:p>
    <w:p w14:paraId="3FB3CF60" w14:textId="77777777" w:rsidR="00845B18" w:rsidRDefault="00000000">
      <w:pPr>
        <w:pStyle w:val="Zkladntext20"/>
        <w:framePr w:w="6941" w:h="4589" w:hRule="exact" w:wrap="none" w:vAnchor="page" w:hAnchor="page" w:x="413" w:y="2818"/>
        <w:numPr>
          <w:ilvl w:val="0"/>
          <w:numId w:val="10"/>
        </w:numPr>
        <w:shd w:val="clear" w:color="auto" w:fill="auto"/>
        <w:tabs>
          <w:tab w:val="left" w:pos="169"/>
        </w:tabs>
        <w:spacing w:after="100" w:line="290" w:lineRule="auto"/>
        <w:rPr>
          <w:sz w:val="18"/>
          <w:szCs w:val="18"/>
        </w:rPr>
      </w:pPr>
      <w:proofErr w:type="spellStart"/>
      <w:r>
        <w:rPr>
          <w:sz w:val="18"/>
          <w:szCs w:val="18"/>
        </w:rPr>
        <w:t>vi</w:t>
      </w:r>
      <w:proofErr w:type="spellEnd"/>
      <w:r>
        <w:rPr>
          <w:sz w:val="18"/>
          <w:szCs w:val="18"/>
        </w:rPr>
        <w:t xml:space="preserve"> h zemí, respektive dnes velká města versus zbytek, přitom provází český knižní trh už i ni dub Krameriových, tj. od počátku 19. století; tuto asymetrii můžeme v kvantifikované pni lube vidět v grafu 2.1. Jako problém je zmiňována i vysoká daň z přidané hodnoty, i' </w:t>
      </w:r>
      <w:proofErr w:type="spellStart"/>
      <w:r>
        <w:rPr>
          <w:sz w:val="18"/>
          <w:szCs w:val="18"/>
        </w:rPr>
        <w:t>iniije</w:t>
      </w:r>
      <w:proofErr w:type="spellEnd"/>
      <w:r>
        <w:rPr>
          <w:sz w:val="18"/>
          <w:szCs w:val="18"/>
        </w:rPr>
        <w:t xml:space="preserve"> i nedostatečná péče o literaturu klasickou a náročnější překlady.</w:t>
      </w:r>
    </w:p>
    <w:p w14:paraId="7027654C" w14:textId="77777777" w:rsidR="00845B18" w:rsidRDefault="00000000">
      <w:pPr>
        <w:pStyle w:val="Zkladntext20"/>
        <w:framePr w:w="6941" w:h="4589" w:hRule="exact" w:wrap="none" w:vAnchor="page" w:hAnchor="page" w:x="413" w:y="2818"/>
        <w:numPr>
          <w:ilvl w:val="0"/>
          <w:numId w:val="10"/>
        </w:numPr>
        <w:shd w:val="clear" w:color="auto" w:fill="auto"/>
        <w:tabs>
          <w:tab w:val="left" w:pos="265"/>
        </w:tabs>
        <w:spacing w:after="0" w:line="290" w:lineRule="auto"/>
        <w:rPr>
          <w:sz w:val="18"/>
          <w:szCs w:val="18"/>
        </w:rPr>
      </w:pPr>
      <w:proofErr w:type="spellStart"/>
      <w:r>
        <w:rPr>
          <w:sz w:val="18"/>
          <w:szCs w:val="18"/>
        </w:rPr>
        <w:t>il</w:t>
      </w:r>
      <w:proofErr w:type="spellEnd"/>
      <w:r>
        <w:rPr>
          <w:sz w:val="18"/>
          <w:szCs w:val="18"/>
        </w:rPr>
        <w:t xml:space="preserve"> motivem odpovědí na druhou otázku jsou e-knihy. Vládne shoda, že tato forma knih bude nabývat stále více na významu, současně však panuje přesvědčení, že tištěná kniha </w:t>
      </w:r>
      <w:proofErr w:type="spellStart"/>
      <w:r>
        <w:rPr>
          <w:sz w:val="18"/>
          <w:szCs w:val="18"/>
        </w:rPr>
        <w:t>iipl</w:t>
      </w:r>
      <w:proofErr w:type="spellEnd"/>
      <w:r>
        <w:rPr>
          <w:sz w:val="18"/>
          <w:szCs w:val="18"/>
        </w:rPr>
        <w:t xml:space="preserve"> </w:t>
      </w:r>
      <w:proofErr w:type="gramStart"/>
      <w:r>
        <w:rPr>
          <w:rFonts w:ascii="Arial" w:eastAsia="Arial" w:hAnsi="Arial" w:cs="Arial"/>
          <w:sz w:val="13"/>
          <w:szCs w:val="13"/>
        </w:rPr>
        <w:t xml:space="preserve">ní- </w:t>
      </w:r>
      <w:r>
        <w:rPr>
          <w:sz w:val="18"/>
          <w:szCs w:val="18"/>
        </w:rPr>
        <w:t>nevymizí</w:t>
      </w:r>
      <w:proofErr w:type="gramEnd"/>
      <w:r>
        <w:rPr>
          <w:sz w:val="18"/>
          <w:szCs w:val="18"/>
        </w:rPr>
        <w:t xml:space="preserve">, dokonce by čtení tištěných knih mohlo získat na kulturní prestiži. </w:t>
      </w:r>
      <w:proofErr w:type="spellStart"/>
      <w:r>
        <w:rPr>
          <w:sz w:val="18"/>
          <w:szCs w:val="18"/>
        </w:rPr>
        <w:t>Vní</w:t>
      </w:r>
      <w:proofErr w:type="spellEnd"/>
      <w:r>
        <w:rPr>
          <w:sz w:val="18"/>
          <w:szCs w:val="18"/>
        </w:rPr>
        <w:t xml:space="preserve">- </w:t>
      </w:r>
      <w:proofErr w:type="spellStart"/>
      <w:r>
        <w:rPr>
          <w:sz w:val="18"/>
          <w:szCs w:val="18"/>
        </w:rPr>
        <w:t>III.ni.i</w:t>
      </w:r>
      <w:proofErr w:type="spellEnd"/>
      <w:r>
        <w:rPr>
          <w:sz w:val="18"/>
          <w:szCs w:val="18"/>
        </w:rPr>
        <w:t xml:space="preserve"> je trvalá tendence k posilování silných. Zaznívají i obavy, aby konsolidace na poli </w:t>
      </w:r>
      <w:r>
        <w:rPr>
          <w:rFonts w:ascii="Arial" w:eastAsia="Arial" w:hAnsi="Arial" w:cs="Arial"/>
          <w:sz w:val="13"/>
          <w:szCs w:val="13"/>
        </w:rPr>
        <w:t xml:space="preserve">o d </w:t>
      </w:r>
      <w:proofErr w:type="spellStart"/>
      <w:r>
        <w:rPr>
          <w:sz w:val="18"/>
          <w:szCs w:val="18"/>
        </w:rPr>
        <w:t>ladatelů</w:t>
      </w:r>
      <w:proofErr w:type="spellEnd"/>
      <w:r>
        <w:rPr>
          <w:sz w:val="18"/>
          <w:szCs w:val="18"/>
        </w:rPr>
        <w:t xml:space="preserve"> a distributorů neznamenala i zúžení titulové nabídky.</w:t>
      </w:r>
    </w:p>
    <w:p w14:paraId="32660321" w14:textId="77777777" w:rsidR="00845B18" w:rsidRDefault="00000000">
      <w:pPr>
        <w:pStyle w:val="Zkladntext20"/>
        <w:framePr w:w="6941" w:h="787" w:hRule="exact" w:wrap="none" w:vAnchor="page" w:hAnchor="page" w:x="413" w:y="7906"/>
        <w:shd w:val="clear" w:color="auto" w:fill="auto"/>
        <w:spacing w:after="0" w:line="386" w:lineRule="auto"/>
        <w:jc w:val="left"/>
        <w:rPr>
          <w:sz w:val="18"/>
          <w:szCs w:val="18"/>
        </w:rPr>
      </w:pPr>
      <w:r>
        <w:rPr>
          <w:sz w:val="18"/>
          <w:szCs w:val="18"/>
          <w:lang w:val="fr-FR" w:eastAsia="fr-FR" w:bidi="fr-FR"/>
        </w:rPr>
        <w:t>‘</w:t>
      </w:r>
      <w:proofErr w:type="gramStart"/>
      <w:r>
        <w:rPr>
          <w:sz w:val="18"/>
          <w:szCs w:val="18"/>
          <w:lang w:val="fr-FR" w:eastAsia="fr-FR" w:bidi="fr-FR"/>
        </w:rPr>
        <w:t>du</w:t>
      </w:r>
      <w:proofErr w:type="gramEnd"/>
      <w:r>
        <w:rPr>
          <w:sz w:val="18"/>
          <w:szCs w:val="18"/>
          <w:lang w:val="fr-FR" w:eastAsia="fr-FR" w:bidi="fr-FR"/>
        </w:rPr>
        <w:t xml:space="preserve"> </w:t>
      </w:r>
      <w:r>
        <w:rPr>
          <w:sz w:val="18"/>
          <w:szCs w:val="18"/>
        </w:rPr>
        <w:t xml:space="preserve">nutí: Současný český knižní trh se jeví jako výrazně podfinancovaný a titulově </w:t>
      </w:r>
      <w:r>
        <w:rPr>
          <w:rFonts w:ascii="Arial" w:eastAsia="Arial" w:hAnsi="Arial" w:cs="Arial"/>
          <w:smallCaps/>
          <w:sz w:val="9"/>
          <w:szCs w:val="9"/>
          <w:lang w:val="fr-FR" w:eastAsia="fr-FR" w:bidi="fr-FR"/>
        </w:rPr>
        <w:t>h</w:t>
      </w:r>
      <w:r>
        <w:rPr>
          <w:sz w:val="18"/>
          <w:szCs w:val="18"/>
          <w:lang w:val="fr-FR" w:eastAsia="fr-FR" w:bidi="fr-FR"/>
        </w:rPr>
        <w:t xml:space="preserve"> </w:t>
      </w:r>
      <w:proofErr w:type="spellStart"/>
      <w:r>
        <w:rPr>
          <w:sz w:val="18"/>
          <w:szCs w:val="18"/>
        </w:rPr>
        <w:t>uldimenzovaný</w:t>
      </w:r>
      <w:proofErr w:type="spellEnd"/>
      <w:r>
        <w:rPr>
          <w:sz w:val="18"/>
          <w:szCs w:val="18"/>
        </w:rPr>
        <w:t>; chybí mu také větší koncentrace subjektů a silnější kapitál.</w:t>
      </w:r>
    </w:p>
    <w:p w14:paraId="0E92DFD5" w14:textId="77777777" w:rsidR="00845B18" w:rsidRDefault="00000000">
      <w:pPr>
        <w:pStyle w:val="Zkladntext20"/>
        <w:framePr w:w="6941" w:h="787" w:hRule="exact" w:wrap="none" w:vAnchor="page" w:hAnchor="page" w:x="413" w:y="7906"/>
        <w:shd w:val="clear" w:color="auto" w:fill="auto"/>
        <w:spacing w:after="0" w:line="290" w:lineRule="auto"/>
        <w:jc w:val="left"/>
        <w:rPr>
          <w:sz w:val="18"/>
          <w:szCs w:val="18"/>
        </w:rPr>
      </w:pPr>
      <w:r>
        <w:rPr>
          <w:sz w:val="18"/>
          <w:szCs w:val="18"/>
        </w:rPr>
        <w:t xml:space="preserve">' </w:t>
      </w:r>
      <w:proofErr w:type="spellStart"/>
      <w:r>
        <w:rPr>
          <w:sz w:val="18"/>
          <w:szCs w:val="18"/>
        </w:rPr>
        <w:t>iu</w:t>
      </w:r>
      <w:proofErr w:type="spellEnd"/>
      <w:r>
        <w:rPr>
          <w:sz w:val="18"/>
          <w:szCs w:val="18"/>
        </w:rPr>
        <w:t xml:space="preserve"> méně ve svém celku je stabilní a funkční.</w:t>
      </w:r>
    </w:p>
    <w:p w14:paraId="33A1B5DD" w14:textId="77777777" w:rsidR="00845B18" w:rsidRDefault="00845B18">
      <w:pPr>
        <w:spacing w:line="14" w:lineRule="exact"/>
      </w:pPr>
    </w:p>
    <w:sectPr w:rsidR="00845B18">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8412" w14:textId="77777777" w:rsidR="001E5B8C" w:rsidRDefault="001E5B8C">
      <w:r>
        <w:separator/>
      </w:r>
    </w:p>
  </w:endnote>
  <w:endnote w:type="continuationSeparator" w:id="0">
    <w:p w14:paraId="7D14A0CD" w14:textId="77777777" w:rsidR="001E5B8C" w:rsidRDefault="001E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9930F" w14:textId="77777777" w:rsidR="001E5B8C" w:rsidRDefault="001E5B8C"/>
  </w:footnote>
  <w:footnote w:type="continuationSeparator" w:id="0">
    <w:p w14:paraId="06EDACE6" w14:textId="77777777" w:rsidR="001E5B8C" w:rsidRDefault="001E5B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C92"/>
    <w:multiLevelType w:val="multilevel"/>
    <w:tmpl w:val="DA06975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6C5140"/>
    <w:multiLevelType w:val="multilevel"/>
    <w:tmpl w:val="925A152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FE403D"/>
    <w:multiLevelType w:val="multilevel"/>
    <w:tmpl w:val="7020E3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DC79DB"/>
    <w:multiLevelType w:val="multilevel"/>
    <w:tmpl w:val="25907A8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5D6962"/>
    <w:multiLevelType w:val="multilevel"/>
    <w:tmpl w:val="24A2C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2038C5"/>
    <w:multiLevelType w:val="multilevel"/>
    <w:tmpl w:val="5590D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D9279A"/>
    <w:multiLevelType w:val="multilevel"/>
    <w:tmpl w:val="E1CA8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A206FB"/>
    <w:multiLevelType w:val="multilevel"/>
    <w:tmpl w:val="F2E84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3E2D01"/>
    <w:multiLevelType w:val="multilevel"/>
    <w:tmpl w:val="64707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EC2FBC"/>
    <w:multiLevelType w:val="multilevel"/>
    <w:tmpl w:val="EAA8B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6000665">
    <w:abstractNumId w:val="5"/>
  </w:num>
  <w:num w:numId="2" w16cid:durableId="1354455012">
    <w:abstractNumId w:val="3"/>
  </w:num>
  <w:num w:numId="3" w16cid:durableId="1999384655">
    <w:abstractNumId w:val="2"/>
  </w:num>
  <w:num w:numId="4" w16cid:durableId="402025081">
    <w:abstractNumId w:val="4"/>
  </w:num>
  <w:num w:numId="5" w16cid:durableId="183834189">
    <w:abstractNumId w:val="9"/>
  </w:num>
  <w:num w:numId="6" w16cid:durableId="102306305">
    <w:abstractNumId w:val="8"/>
  </w:num>
  <w:num w:numId="7" w16cid:durableId="565529625">
    <w:abstractNumId w:val="7"/>
  </w:num>
  <w:num w:numId="8" w16cid:durableId="1064336857">
    <w:abstractNumId w:val="1"/>
  </w:num>
  <w:num w:numId="9" w16cid:durableId="513154572">
    <w:abstractNumId w:val="6"/>
  </w:num>
  <w:num w:numId="10" w16cid:durableId="691763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B18"/>
    <w:rsid w:val="001E5B8C"/>
    <w:rsid w:val="00845B18"/>
    <w:rsid w:val="00F32F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DA98"/>
  <w15:docId w15:val="{0DA47E31-69A4-4362-BFD8-B731C4D0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5"/>
      <w:szCs w:val="15"/>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5"/>
      <w:szCs w:val="15"/>
      <w:u w:val="none"/>
    </w:rPr>
  </w:style>
  <w:style w:type="character" w:customStyle="1" w:styleId="Nadpis1">
    <w:name w:val="Nadpis #1_"/>
    <w:basedOn w:val="Standardnpsmoodstavce"/>
    <w:link w:val="Nadpis10"/>
    <w:rPr>
      <w:rFonts w:ascii="Book Antiqua" w:eastAsia="Book Antiqua" w:hAnsi="Book Antiqua" w:cs="Book Antiqua"/>
      <w:b/>
      <w:bCs/>
      <w:i w:val="0"/>
      <w:iCs w:val="0"/>
      <w:smallCaps w:val="0"/>
      <w:strike w:val="0"/>
      <w:sz w:val="36"/>
      <w:szCs w:val="36"/>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9"/>
      <w:szCs w:val="19"/>
      <w:u w:val="none"/>
    </w:rPr>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3"/>
      <w:szCs w:val="13"/>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5"/>
      <w:szCs w:val="15"/>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9"/>
      <w:szCs w:val="19"/>
      <w:u w:val="none"/>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14"/>
      <w:szCs w:val="14"/>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16"/>
      <w:szCs w:val="16"/>
      <w:u w:val="none"/>
    </w:rPr>
  </w:style>
  <w:style w:type="character" w:customStyle="1" w:styleId="Zkladntext8">
    <w:name w:val="Základní text (8)_"/>
    <w:basedOn w:val="Standardnpsmoodstavce"/>
    <w:link w:val="Zkladntext80"/>
    <w:rPr>
      <w:rFonts w:ascii="Corbel" w:eastAsia="Corbel" w:hAnsi="Corbel" w:cs="Corbel"/>
      <w:b/>
      <w:bCs/>
      <w:i w:val="0"/>
      <w:iCs w:val="0"/>
      <w:smallCaps w:val="0"/>
      <w:strike w:val="0"/>
      <w:sz w:val="17"/>
      <w:szCs w:val="17"/>
      <w:u w:val="none"/>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15"/>
      <w:szCs w:val="15"/>
    </w:rPr>
  </w:style>
  <w:style w:type="paragraph" w:customStyle="1" w:styleId="Zkladntext1">
    <w:name w:val="Základní text1"/>
    <w:basedOn w:val="Normln"/>
    <w:link w:val="Zkladntext"/>
    <w:pPr>
      <w:shd w:val="clear" w:color="auto" w:fill="FFFFFF"/>
      <w:spacing w:line="269" w:lineRule="auto"/>
      <w:jc w:val="both"/>
    </w:pPr>
    <w:rPr>
      <w:rFonts w:ascii="Times New Roman" w:eastAsia="Times New Roman" w:hAnsi="Times New Roman" w:cs="Times New Roman"/>
      <w:sz w:val="15"/>
      <w:szCs w:val="15"/>
    </w:rPr>
  </w:style>
  <w:style w:type="paragraph" w:customStyle="1" w:styleId="Nadpis10">
    <w:name w:val="Nadpis #1"/>
    <w:basedOn w:val="Normln"/>
    <w:link w:val="Nadpis1"/>
    <w:pPr>
      <w:shd w:val="clear" w:color="auto" w:fill="FFFFFF"/>
      <w:spacing w:after="1900" w:line="269" w:lineRule="auto"/>
      <w:jc w:val="center"/>
      <w:outlineLvl w:val="0"/>
    </w:pPr>
    <w:rPr>
      <w:rFonts w:ascii="Book Antiqua" w:eastAsia="Book Antiqua" w:hAnsi="Book Antiqua" w:cs="Book Antiqua"/>
      <w:b/>
      <w:bCs/>
      <w:sz w:val="36"/>
      <w:szCs w:val="36"/>
    </w:rPr>
  </w:style>
  <w:style w:type="paragraph" w:customStyle="1" w:styleId="Zkladntext20">
    <w:name w:val="Základní text (2)"/>
    <w:basedOn w:val="Normln"/>
    <w:link w:val="Zkladntext2"/>
    <w:pPr>
      <w:shd w:val="clear" w:color="auto" w:fill="FFFFFF"/>
      <w:spacing w:after="280" w:line="276" w:lineRule="auto"/>
      <w:jc w:val="both"/>
    </w:pPr>
    <w:rPr>
      <w:rFonts w:ascii="Times New Roman" w:eastAsia="Times New Roman" w:hAnsi="Times New Roman" w:cs="Times New Roman"/>
      <w:sz w:val="19"/>
      <w:szCs w:val="19"/>
    </w:rPr>
  </w:style>
  <w:style w:type="paragraph" w:customStyle="1" w:styleId="Poznmkapodarou0">
    <w:name w:val="Poznámka pod čarou"/>
    <w:basedOn w:val="Normln"/>
    <w:link w:val="Poznmkapodarou"/>
    <w:pPr>
      <w:shd w:val="clear" w:color="auto" w:fill="FFFFFF"/>
      <w:spacing w:line="269" w:lineRule="auto"/>
      <w:ind w:left="300" w:hanging="300"/>
      <w:jc w:val="both"/>
    </w:pPr>
    <w:rPr>
      <w:rFonts w:ascii="Times New Roman" w:eastAsia="Times New Roman" w:hAnsi="Times New Roman" w:cs="Times New Roman"/>
      <w:sz w:val="15"/>
      <w:szCs w:val="15"/>
    </w:rPr>
  </w:style>
  <w:style w:type="paragraph" w:customStyle="1" w:styleId="Titulekobrzku0">
    <w:name w:val="Titulek obrázku"/>
    <w:basedOn w:val="Normln"/>
    <w:link w:val="Titulekobrzku"/>
    <w:pPr>
      <w:shd w:val="clear" w:color="auto" w:fill="FFFFFF"/>
    </w:pPr>
    <w:rPr>
      <w:rFonts w:ascii="Arial" w:eastAsia="Arial" w:hAnsi="Arial" w:cs="Arial"/>
      <w:b/>
      <w:bCs/>
      <w:sz w:val="13"/>
      <w:szCs w:val="13"/>
    </w:rPr>
  </w:style>
  <w:style w:type="paragraph" w:customStyle="1" w:styleId="Titulektabulky0">
    <w:name w:val="Titulek tabulky"/>
    <w:basedOn w:val="Normln"/>
    <w:link w:val="Titulektabulky"/>
    <w:pPr>
      <w:shd w:val="clear" w:color="auto" w:fill="FFFFFF"/>
      <w:spacing w:line="250" w:lineRule="auto"/>
      <w:ind w:left="110" w:hanging="110"/>
    </w:pPr>
    <w:rPr>
      <w:rFonts w:ascii="Times New Roman" w:eastAsia="Times New Roman" w:hAnsi="Times New Roman" w:cs="Times New Roman"/>
      <w:sz w:val="15"/>
      <w:szCs w:val="15"/>
    </w:rPr>
  </w:style>
  <w:style w:type="paragraph" w:customStyle="1" w:styleId="Jin0">
    <w:name w:val="Jiné"/>
    <w:basedOn w:val="Normln"/>
    <w:link w:val="Jin"/>
    <w:pPr>
      <w:shd w:val="clear" w:color="auto" w:fill="FFFFFF"/>
      <w:spacing w:after="280" w:line="276" w:lineRule="auto"/>
      <w:jc w:val="both"/>
    </w:pPr>
    <w:rPr>
      <w:rFonts w:ascii="Times New Roman" w:eastAsia="Times New Roman" w:hAnsi="Times New Roman" w:cs="Times New Roman"/>
      <w:sz w:val="19"/>
      <w:szCs w:val="19"/>
    </w:rPr>
  </w:style>
  <w:style w:type="paragraph" w:customStyle="1" w:styleId="Zkladntext70">
    <w:name w:val="Základní text (7)"/>
    <w:basedOn w:val="Normln"/>
    <w:link w:val="Zkladntext7"/>
    <w:pPr>
      <w:shd w:val="clear" w:color="auto" w:fill="FFFFFF"/>
      <w:spacing w:after="140"/>
      <w:ind w:left="2120"/>
      <w:jc w:val="both"/>
    </w:pPr>
    <w:rPr>
      <w:rFonts w:ascii="Arial" w:eastAsia="Arial" w:hAnsi="Arial" w:cs="Arial"/>
      <w:b/>
      <w:bCs/>
      <w:sz w:val="14"/>
      <w:szCs w:val="14"/>
    </w:rPr>
  </w:style>
  <w:style w:type="paragraph" w:customStyle="1" w:styleId="Zkladntext60">
    <w:name w:val="Základní text (6)"/>
    <w:basedOn w:val="Normln"/>
    <w:link w:val="Zkladntext6"/>
    <w:pPr>
      <w:shd w:val="clear" w:color="auto" w:fill="FFFFFF"/>
      <w:spacing w:after="160" w:line="252" w:lineRule="auto"/>
      <w:jc w:val="center"/>
    </w:pPr>
    <w:rPr>
      <w:rFonts w:ascii="Arial" w:eastAsia="Arial" w:hAnsi="Arial" w:cs="Arial"/>
      <w:b/>
      <w:bCs/>
      <w:sz w:val="16"/>
      <w:szCs w:val="16"/>
    </w:rPr>
  </w:style>
  <w:style w:type="paragraph" w:customStyle="1" w:styleId="Zkladntext80">
    <w:name w:val="Základní text (8)"/>
    <w:basedOn w:val="Normln"/>
    <w:link w:val="Zkladntext8"/>
    <w:pPr>
      <w:shd w:val="clear" w:color="auto" w:fill="FFFFFF"/>
      <w:spacing w:after="120" w:line="290" w:lineRule="auto"/>
      <w:jc w:val="center"/>
    </w:pPr>
    <w:rPr>
      <w:rFonts w:ascii="Corbel" w:eastAsia="Corbel" w:hAnsi="Corbel" w:cs="Corbel"/>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ternationalpublishers.org/images/stories/PR/2012/global_statistics.pdf" TargetMode="External"/><Relationship Id="rId13" Type="http://schemas.openxmlformats.org/officeDocument/2006/relationships/image" Target="media/image2.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unesdoc.unesco.org/" TargetMode="External"/><Relationship Id="rId12" Type="http://schemas.openxmlformats.org/officeDocument/2006/relationships/image" Target="media/image1.jpe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www.uni-stuttgart.de/soz/oi/" TargetMode="External"/><Relationship Id="rId20" Type="http://schemas.openxmlformats.org/officeDocument/2006/relationships/hyperlink" Target="http://www.sckn.cz/content/zpravy/file-93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pls.jrc.ec.europa.eu/publicalions/pub.cfm?id=5702"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rightscom.com/Portals/0/European%20Book%20Publishing%20Re-port.pdf" TargetMode="External"/><Relationship Id="rId19" Type="http://schemas.openxmlformats.org/officeDocument/2006/relationships/hyperlink" Target="http://www.culturc.gov.sk/vdoc/424/sumare-2012-215.html" TargetMode="External"/><Relationship Id="rId4" Type="http://schemas.openxmlformats.org/officeDocument/2006/relationships/webSettings" Target="webSettings.xml"/><Relationship Id="rId9" Type="http://schemas.openxmlformats.org/officeDocument/2006/relationships/hyperlink" Target="http://thefutureofpublishing.com/industries/the-future-of-book-publishing/"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8325</Words>
  <Characters>49123</Characters>
  <Application>Microsoft Office Word</Application>
  <DocSecurity>0</DocSecurity>
  <Lines>409</Lines>
  <Paragraphs>114</Paragraphs>
  <ScaleCrop>false</ScaleCrop>
  <Company/>
  <LinksUpToDate>false</LinksUpToDate>
  <CharactersWithSpaces>57334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Kyloušek</dc:creator>
  <cp:lastModifiedBy>Petr Kyloušek</cp:lastModifiedBy>
  <cp:revision>2</cp:revision>
  <dcterms:created xsi:type="dcterms:W3CDTF">2022-10-14T11:34:00Z</dcterms:created>
  <dcterms:modified xsi:type="dcterms:W3CDTF">2022-10-14T11:34:00Z</dcterms:modified>
</cp:coreProperties>
</file>