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93D4" w14:textId="6B518939" w:rsidR="00621C98" w:rsidRDefault="00DD5201">
      <w:r>
        <w:rPr>
          <w:noProof/>
        </w:rPr>
        <w:drawing>
          <wp:inline distT="0" distB="0" distL="0" distR="0" wp14:anchorId="7BCA6BF1" wp14:editId="45AB0B03">
            <wp:extent cx="1590675" cy="795338"/>
            <wp:effectExtent l="0" t="0" r="0" b="5080"/>
            <wp:docPr id="1" name="Obrázek 1" descr="Cómo se traduce e interpreta en la Unión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se traduce e interpreta en la Unión Europe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07" cy="79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0B190" w14:textId="77777777" w:rsidR="00DD5201" w:rsidRPr="00DD5201" w:rsidRDefault="00DD5201" w:rsidP="00DD5201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cs-CZ"/>
        </w:rPr>
      </w:pPr>
      <w:proofErr w:type="spellStart"/>
      <w:r w:rsidRPr="00DD5201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cs-CZ"/>
        </w:rPr>
        <w:t>Escrito</w:t>
      </w:r>
      <w:proofErr w:type="spellEnd"/>
      <w:r w:rsidRPr="00DD5201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cs-CZ"/>
        </w:rPr>
        <w:t xml:space="preserve"> </w:t>
      </w:r>
      <w:proofErr w:type="spellStart"/>
      <w:r w:rsidRPr="00DD5201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cs-CZ"/>
        </w:rPr>
        <w:t>por</w:t>
      </w:r>
      <w:proofErr w:type="spellEnd"/>
    </w:p>
    <w:p w14:paraId="48388A90" w14:textId="77777777" w:rsidR="00DD5201" w:rsidRPr="00DD5201" w:rsidRDefault="00DD5201" w:rsidP="00DD5201">
      <w:pPr>
        <w:shd w:val="clear" w:color="auto" w:fill="FFFFFF"/>
        <w:spacing w:after="0" w:line="240" w:lineRule="auto"/>
        <w:rPr>
          <w:rFonts w:ascii="Karla" w:eastAsia="Times New Roman" w:hAnsi="Karla" w:cs="Times New Roman"/>
          <w:color w:val="313131"/>
          <w:lang w:eastAsia="cs-CZ"/>
        </w:rPr>
      </w:pPr>
      <w:hyperlink r:id="rId5" w:tgtFrame="_blank" w:history="1">
        <w:r w:rsidRPr="00DD5201">
          <w:rPr>
            <w:rFonts w:ascii="Karla" w:eastAsia="Times New Roman" w:hAnsi="Karla" w:cs="Times New Roman"/>
            <w:b/>
            <w:bCs/>
            <w:color w:val="0000FF"/>
            <w:u w:val="single"/>
            <w:lang w:eastAsia="cs-CZ"/>
          </w:rPr>
          <w:t xml:space="preserve">Susana </w:t>
        </w:r>
        <w:proofErr w:type="spellStart"/>
        <w:r w:rsidRPr="00DD5201">
          <w:rPr>
            <w:rFonts w:ascii="Karla" w:eastAsia="Times New Roman" w:hAnsi="Karla" w:cs="Times New Roman"/>
            <w:b/>
            <w:bCs/>
            <w:color w:val="0000FF"/>
            <w:u w:val="single"/>
            <w:lang w:eastAsia="cs-CZ"/>
          </w:rPr>
          <w:t>Cano</w:t>
        </w:r>
        <w:proofErr w:type="spellEnd"/>
      </w:hyperlink>
    </w:p>
    <w:p w14:paraId="3C2887FC" w14:textId="77777777" w:rsidR="00DD5201" w:rsidRPr="00DD5201" w:rsidRDefault="00DD5201" w:rsidP="00DD5201">
      <w:pPr>
        <w:shd w:val="clear" w:color="auto" w:fill="FFFFFF"/>
        <w:spacing w:after="0" w:line="240" w:lineRule="auto"/>
        <w:jc w:val="center"/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</w:pP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Me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llamo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Susana E.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Cano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Méndez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y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soy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traductora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jurada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y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jurídica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,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así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como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licenciada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en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Filología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 xml:space="preserve"> </w:t>
      </w:r>
      <w:proofErr w:type="spellStart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Hispánica</w:t>
      </w:r>
      <w:proofErr w:type="spellEnd"/>
      <w:r w:rsidRPr="00DD5201">
        <w:rPr>
          <w:rFonts w:ascii="Karla" w:eastAsia="Times New Roman" w:hAnsi="Karla" w:cs="Times New Roman"/>
          <w:color w:val="313131"/>
          <w:sz w:val="21"/>
          <w:szCs w:val="21"/>
          <w:lang w:eastAsia="cs-CZ"/>
        </w:rPr>
        <w:t>.</w:t>
      </w:r>
    </w:p>
    <w:p w14:paraId="39627D4E" w14:textId="77777777" w:rsidR="00DD5201" w:rsidRPr="00DD5201" w:rsidRDefault="00DD5201" w:rsidP="00DD5201">
      <w:pPr>
        <w:pStyle w:val="Nadpis1"/>
        <w:spacing w:before="0" w:after="150"/>
        <w:rPr>
          <w:sz w:val="22"/>
          <w:szCs w:val="22"/>
        </w:rPr>
      </w:pPr>
      <w:r w:rsidRPr="00DD5201">
        <w:rPr>
          <w:sz w:val="22"/>
          <w:szCs w:val="22"/>
        </w:rPr>
        <w:t>¿</w:t>
      </w:r>
      <w:proofErr w:type="spellStart"/>
      <w:r w:rsidRPr="00DD5201">
        <w:rPr>
          <w:sz w:val="22"/>
          <w:szCs w:val="22"/>
        </w:rPr>
        <w:t>Cómo</w:t>
      </w:r>
      <w:proofErr w:type="spellEnd"/>
      <w:r w:rsidRPr="00DD5201">
        <w:rPr>
          <w:sz w:val="22"/>
          <w:szCs w:val="22"/>
        </w:rPr>
        <w:t xml:space="preserve"> se </w:t>
      </w:r>
      <w:proofErr w:type="spellStart"/>
      <w:r w:rsidRPr="00DD5201">
        <w:rPr>
          <w:sz w:val="22"/>
          <w:szCs w:val="22"/>
        </w:rPr>
        <w:t>traduce</w:t>
      </w:r>
      <w:proofErr w:type="spellEnd"/>
      <w:r w:rsidRPr="00DD5201">
        <w:rPr>
          <w:sz w:val="22"/>
          <w:szCs w:val="22"/>
        </w:rPr>
        <w:t xml:space="preserve"> (e interpreta) en la </w:t>
      </w:r>
      <w:proofErr w:type="spellStart"/>
      <w:r w:rsidRPr="00DD5201">
        <w:rPr>
          <w:sz w:val="22"/>
          <w:szCs w:val="22"/>
        </w:rPr>
        <w:t>Unión</w:t>
      </w:r>
      <w:proofErr w:type="spellEnd"/>
      <w:r w:rsidRPr="00DD5201">
        <w:rPr>
          <w:sz w:val="22"/>
          <w:szCs w:val="22"/>
        </w:rPr>
        <w:t xml:space="preserve"> </w:t>
      </w:r>
      <w:proofErr w:type="spellStart"/>
      <w:r w:rsidRPr="00DD5201">
        <w:rPr>
          <w:sz w:val="22"/>
          <w:szCs w:val="22"/>
        </w:rPr>
        <w:t>Europea</w:t>
      </w:r>
      <w:proofErr w:type="spellEnd"/>
      <w:r w:rsidRPr="00DD5201">
        <w:rPr>
          <w:sz w:val="22"/>
          <w:szCs w:val="22"/>
        </w:rPr>
        <w:t>?</w:t>
      </w:r>
    </w:p>
    <w:p w14:paraId="126DE83D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Fonts w:ascii="Karla" w:hAnsi="Karla"/>
          <w:color w:val="313131"/>
          <w:sz w:val="22"/>
          <w:szCs w:val="22"/>
        </w:rPr>
        <w:t xml:space="preserve">En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actualidad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(UE)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cuenta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con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veintisiete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Estados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miembros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cada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ellos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con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su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propia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lengua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oficial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(o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lenguas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oficiales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es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caso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espa</w:t>
      </w:r>
      <w:r w:rsidRPr="00DD5201">
        <w:rPr>
          <w:rFonts w:ascii="Cambria" w:hAnsi="Cambria" w:cs="Cambria"/>
          <w:color w:val="313131"/>
          <w:sz w:val="22"/>
          <w:szCs w:val="22"/>
        </w:rPr>
        <w:t>ñ</w:t>
      </w:r>
      <w:r w:rsidRPr="00DD5201">
        <w:rPr>
          <w:rFonts w:ascii="Karla" w:hAnsi="Karla"/>
          <w:color w:val="313131"/>
          <w:sz w:val="22"/>
          <w:szCs w:val="22"/>
        </w:rPr>
        <w:t>ol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).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normativa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para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fomentar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 no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discriminaci</w:t>
      </w:r>
      <w:r w:rsidRPr="00DD5201">
        <w:rPr>
          <w:rFonts w:ascii="Karla" w:hAnsi="Karla" w:cs="Karla"/>
          <w:color w:val="313131"/>
          <w:sz w:val="22"/>
          <w:szCs w:val="22"/>
        </w:rPr>
        <w:t>ó</w:t>
      </w:r>
      <w:r w:rsidRPr="00DD5201">
        <w:rPr>
          <w:rFonts w:ascii="Karla" w:hAnsi="Karla"/>
          <w:color w:val="313131"/>
          <w:sz w:val="22"/>
          <w:szCs w:val="22"/>
        </w:rPr>
        <w:t>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as</w:t>
      </w:r>
      <w:r w:rsidRPr="00DD5201">
        <w:rPr>
          <w:rFonts w:ascii="Karla" w:hAnsi="Karla" w:cs="Karla"/>
          <w:color w:val="313131"/>
          <w:sz w:val="22"/>
          <w:szCs w:val="22"/>
        </w:rPr>
        <w:t>í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correcta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implementaci</w:t>
      </w:r>
      <w:r w:rsidRPr="00DD5201">
        <w:rPr>
          <w:rFonts w:ascii="Karla" w:hAnsi="Karla" w:cs="Karla"/>
          <w:color w:val="313131"/>
          <w:sz w:val="22"/>
          <w:szCs w:val="22"/>
        </w:rPr>
        <w:t>ó</w:t>
      </w:r>
      <w:r w:rsidRPr="00DD5201">
        <w:rPr>
          <w:rFonts w:ascii="Karla" w:hAnsi="Karla"/>
          <w:color w:val="313131"/>
          <w:sz w:val="22"/>
          <w:szCs w:val="22"/>
        </w:rPr>
        <w:t>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todo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decide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los </w:t>
      </w:r>
      <w:proofErr w:type="spellStart"/>
      <w:r w:rsidRPr="00DD5201">
        <w:rPr>
          <w:rFonts w:ascii="Karla" w:hAnsi="Karla" w:cs="Karla"/>
          <w:color w:val="313131"/>
          <w:sz w:val="22"/>
          <w:szCs w:val="22"/>
        </w:rPr>
        <w:t>ó</w:t>
      </w:r>
      <w:r w:rsidRPr="00DD5201">
        <w:rPr>
          <w:rFonts w:ascii="Karla" w:hAnsi="Karla"/>
          <w:color w:val="313131"/>
          <w:sz w:val="22"/>
          <w:szCs w:val="22"/>
        </w:rPr>
        <w:t>rganos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comunitarios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comunicaci</w:t>
      </w:r>
      <w:r w:rsidRPr="00DD5201">
        <w:rPr>
          <w:rFonts w:ascii="Karla" w:hAnsi="Karla" w:cs="Karla"/>
          <w:color w:val="313131"/>
          <w:sz w:val="22"/>
          <w:szCs w:val="22"/>
        </w:rPr>
        <w:t>ó</w:t>
      </w:r>
      <w:r w:rsidRPr="00DD5201">
        <w:rPr>
          <w:rFonts w:ascii="Karla" w:hAnsi="Karla"/>
          <w:color w:val="313131"/>
          <w:sz w:val="22"/>
          <w:szCs w:val="22"/>
        </w:rPr>
        <w:t>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la UE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debe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establecerse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idioma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oficial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mayoritario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cada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país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(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equivale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descartar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lenguas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catalán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euskera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gallego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: pero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otro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debate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).</w:t>
      </w:r>
    </w:p>
    <w:p w14:paraId="1D7329E7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Veinticuatro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lenguas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: el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paraíso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un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traductor</w:t>
      </w:r>
      <w:proofErr w:type="spellEnd"/>
    </w:p>
    <w:p w14:paraId="661B502B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proofErr w:type="spellStart"/>
      <w:r w:rsidRPr="00DD5201">
        <w:rPr>
          <w:rFonts w:ascii="Karla" w:hAnsi="Karla"/>
          <w:color w:val="313131"/>
          <w:sz w:val="22"/>
          <w:szCs w:val="22"/>
        </w:rPr>
        <w:t>Como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la UE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existen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países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comparten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lengua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mayoritaria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(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ejemplo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Alemania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Austria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; Francia,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Luxemburgo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proofErr w:type="gramStart"/>
      <w:r w:rsidRPr="00DD5201">
        <w:rPr>
          <w:rFonts w:ascii="Karla" w:hAnsi="Karla"/>
          <w:color w:val="313131"/>
          <w:sz w:val="22"/>
          <w:szCs w:val="22"/>
        </w:rPr>
        <w:t>Bélgica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,</w:t>
      </w:r>
      <w:proofErr w:type="gram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etc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.),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número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idiomas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es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veinticuatro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Hago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mención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especial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inglés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sigue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existiendo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lista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idiomas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aunque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Reino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Unido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haya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abandonado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porque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entre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otras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cosas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es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idioma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oficial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Irlanda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Malta.</w:t>
      </w:r>
    </w:p>
    <w:p w14:paraId="40DF65E0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Fonts w:ascii="Karla" w:hAnsi="Karla"/>
          <w:color w:val="313131"/>
          <w:sz w:val="22"/>
          <w:szCs w:val="22"/>
        </w:rPr>
        <w:t xml:space="preserve">A pesar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lenguas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trabajo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es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decir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en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comunican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los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trabajadores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representantes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para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debatir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tomar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decisiones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son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alemán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francés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inglés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.</w:t>
      </w:r>
    </w:p>
    <w:p w14:paraId="55541D90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Una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máquina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traducir</w:t>
      </w:r>
      <w:proofErr w:type="spellEnd"/>
    </w:p>
    <w:p w14:paraId="16FEF954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tanto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la UE es una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máquina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traducir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documentos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nuevos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interpretar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reuniones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así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subtitular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doblar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transcribir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general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cada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organismo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agencia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descentralizada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tiene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sus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propios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recursos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, pero el </w:t>
      </w:r>
      <w:proofErr w:type="spellStart"/>
      <w:r w:rsidRPr="00DD5201">
        <w:rPr>
          <w:rStyle w:val="Zdraznn"/>
          <w:rFonts w:ascii="Karla" w:eastAsiaTheme="majorEastAsia" w:hAnsi="Karla"/>
          <w:color w:val="313131"/>
          <w:sz w:val="22"/>
          <w:szCs w:val="22"/>
        </w:rPr>
        <w:t>Comité</w:t>
      </w:r>
      <w:proofErr w:type="spellEnd"/>
      <w:r w:rsidRPr="00DD5201">
        <w:rPr>
          <w:rStyle w:val="Zdraznn"/>
          <w:rFonts w:ascii="Karla" w:eastAsiaTheme="majorEastAsi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Style w:val="Zdraznn"/>
          <w:rFonts w:ascii="Karla" w:eastAsiaTheme="majorEastAsia" w:hAnsi="Karla"/>
          <w:color w:val="313131"/>
          <w:sz w:val="22"/>
          <w:szCs w:val="22"/>
        </w:rPr>
        <w:t>Interinstitucional</w:t>
      </w:r>
      <w:proofErr w:type="spellEnd"/>
      <w:r w:rsidRPr="00DD5201">
        <w:rPr>
          <w:rStyle w:val="Zdraznn"/>
          <w:rFonts w:ascii="Karla" w:eastAsiaTheme="majorEastAsi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Style w:val="Zdraznn"/>
          <w:rFonts w:ascii="Karla" w:eastAsiaTheme="majorEastAsia" w:hAnsi="Karla"/>
          <w:color w:val="313131"/>
          <w:sz w:val="22"/>
          <w:szCs w:val="22"/>
        </w:rPr>
        <w:t>Traducción</w:t>
      </w:r>
      <w:proofErr w:type="spellEnd"/>
      <w:r w:rsidRPr="00DD5201">
        <w:rPr>
          <w:rStyle w:val="Zdraznn"/>
          <w:rFonts w:ascii="Karla" w:eastAsiaTheme="majorEastAsia" w:hAnsi="Karla"/>
          <w:color w:val="313131"/>
          <w:sz w:val="22"/>
          <w:szCs w:val="22"/>
        </w:rPr>
        <w:t xml:space="preserve"> e </w:t>
      </w:r>
      <w:proofErr w:type="spellStart"/>
      <w:r w:rsidRPr="00DD5201">
        <w:rPr>
          <w:rStyle w:val="Zdraznn"/>
          <w:rFonts w:ascii="Karla" w:eastAsiaTheme="majorEastAsia" w:hAnsi="Karla"/>
          <w:color w:val="313131"/>
          <w:sz w:val="22"/>
          <w:szCs w:val="22"/>
        </w:rPr>
        <w:t>Interpretación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 (CITI),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coordina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actividades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todas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instituciones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organismos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servicios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la UE.</w:t>
      </w:r>
    </w:p>
    <w:p w14:paraId="4EAFC117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Fonts w:ascii="Karla" w:hAnsi="Karla"/>
          <w:color w:val="313131"/>
          <w:sz w:val="22"/>
          <w:szCs w:val="22"/>
        </w:rPr>
        <w:t xml:space="preserve">En 1994,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creó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además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Centro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los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Órganos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para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centralizar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asuntos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específicos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así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para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realizar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licitaciones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contratar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proveedores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externos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agencia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corresponde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gestión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la base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terminológica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 </w:t>
      </w:r>
      <w:hyperlink r:id="rId6" w:tgtFrame="_blank" w:history="1">
        <w:r w:rsidRPr="00DD5201">
          <w:rPr>
            <w:rStyle w:val="Hypertextovodkaz"/>
            <w:rFonts w:ascii="Karla" w:hAnsi="Karla"/>
            <w:sz w:val="22"/>
            <w:szCs w:val="22"/>
          </w:rPr>
          <w:t>IATE</w:t>
        </w:r>
      </w:hyperlink>
      <w:r w:rsidRPr="00DD5201">
        <w:rPr>
          <w:rFonts w:ascii="Karla" w:hAnsi="Karla"/>
          <w:color w:val="313131"/>
          <w:sz w:val="22"/>
          <w:szCs w:val="22"/>
        </w:rPr>
        <w:t> (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Interactive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Terminology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),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dispone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casi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850 000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entradas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nutre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traducciones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efectivas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hechas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la UE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está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disponible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línea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para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todos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los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ciudadanos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: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bien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utilizada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es una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fuente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documentación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primer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orden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para los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profesionales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.</w:t>
      </w:r>
    </w:p>
    <w:p w14:paraId="478F6453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Style w:val="Siln"/>
          <w:rFonts w:ascii="Cambria" w:hAnsi="Cambria" w:cs="Cambria"/>
          <w:color w:val="313131"/>
          <w:sz w:val="22"/>
          <w:szCs w:val="22"/>
        </w:rPr>
        <w:t>¿</w:t>
      </w:r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Y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c</w:t>
      </w:r>
      <w:r w:rsidRPr="00DD5201">
        <w:rPr>
          <w:rStyle w:val="Siln"/>
          <w:rFonts w:ascii="Karla" w:hAnsi="Karla" w:cs="Karla"/>
          <w:color w:val="313131"/>
          <w:sz w:val="22"/>
          <w:szCs w:val="22"/>
        </w:rPr>
        <w:t>ó</w:t>
      </w:r>
      <w:r w:rsidRPr="00DD5201">
        <w:rPr>
          <w:rStyle w:val="Siln"/>
          <w:rFonts w:ascii="Karla" w:hAnsi="Karla"/>
          <w:color w:val="313131"/>
          <w:sz w:val="22"/>
          <w:szCs w:val="22"/>
        </w:rPr>
        <w:t>mo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es el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trabajo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cotidiano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>?</w:t>
      </w:r>
    </w:p>
    <w:p w14:paraId="63089D3E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Fonts w:ascii="Karla" w:hAnsi="Karla"/>
          <w:color w:val="313131"/>
          <w:sz w:val="22"/>
          <w:szCs w:val="22"/>
        </w:rPr>
        <w:t xml:space="preserve">Los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traductores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generalmente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su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lengua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materna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puesto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considera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estándar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calidad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gremio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También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utilizan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herramientas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TAO </w:t>
      </w:r>
      <w:r w:rsidRPr="00DD5201">
        <w:rPr>
          <w:rFonts w:ascii="Karla" w:hAnsi="Karla"/>
          <w:color w:val="313131"/>
          <w:sz w:val="22"/>
          <w:szCs w:val="22"/>
        </w:rPr>
        <w:lastRenderedPageBreak/>
        <w:t>(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asistida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ordenador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)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memorias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automática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bases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datos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terminológicas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(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IATE),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etc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.</w:t>
      </w:r>
    </w:p>
    <w:p w14:paraId="5C852C3D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proofErr w:type="spellStart"/>
      <w:r w:rsidRPr="00DD5201">
        <w:rPr>
          <w:rFonts w:ascii="Karla" w:hAnsi="Karla"/>
          <w:color w:val="313131"/>
          <w:sz w:val="22"/>
          <w:szCs w:val="22"/>
        </w:rPr>
        <w:t>Entre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los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traductores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adscritos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 la UE,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existen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varios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perfiles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laborales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: unos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pueden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contratados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directamente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los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organismos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otros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pueden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ser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trabajadores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autónomos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facturan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luego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organismo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cuestión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naturalmente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funciones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interpretación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pueden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externalizar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empresas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sector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Con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cierta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frecuencia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agencias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espa</w:t>
      </w:r>
      <w:r w:rsidRPr="00DD5201">
        <w:rPr>
          <w:rFonts w:ascii="Cambria" w:hAnsi="Cambria" w:cs="Cambria"/>
          <w:color w:val="313131"/>
          <w:sz w:val="22"/>
          <w:szCs w:val="22"/>
        </w:rPr>
        <w:t>ñ</w:t>
      </w:r>
      <w:r w:rsidRPr="00DD5201">
        <w:rPr>
          <w:rFonts w:ascii="Karla" w:hAnsi="Karla"/>
          <w:color w:val="313131"/>
          <w:sz w:val="22"/>
          <w:szCs w:val="22"/>
        </w:rPr>
        <w:t>olas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solicitan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recepción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currículos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para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presentarse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alguna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licitación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(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normalmente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no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consigue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o eso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dicen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ahí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).</w:t>
      </w:r>
    </w:p>
    <w:p w14:paraId="7BFEFC65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Fonts w:ascii="Karla" w:hAnsi="Karla"/>
          <w:color w:val="313131"/>
          <w:sz w:val="22"/>
          <w:szCs w:val="22"/>
        </w:rPr>
        <w:t xml:space="preserve">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cuanto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perfil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experto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además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traductores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también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cuenta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con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labor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terminólogos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especialistas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tecnología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lengua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juristas-lingüistas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editores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correctores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expertos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interculturales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.</w:t>
      </w:r>
    </w:p>
    <w:p w14:paraId="00259F8A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Style w:val="Siln"/>
          <w:rFonts w:ascii="Cambria" w:hAnsi="Cambria" w:cs="Cambria"/>
          <w:color w:val="313131"/>
          <w:sz w:val="22"/>
          <w:szCs w:val="22"/>
        </w:rPr>
        <w:t>¿</w:t>
      </w:r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Pero se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traduce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con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traductor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autom</w:t>
      </w:r>
      <w:r w:rsidRPr="00DD5201">
        <w:rPr>
          <w:rStyle w:val="Siln"/>
          <w:rFonts w:ascii="Karla" w:hAnsi="Karla" w:cs="Karla"/>
          <w:color w:val="313131"/>
          <w:sz w:val="22"/>
          <w:szCs w:val="22"/>
        </w:rPr>
        <w:t>á</w:t>
      </w:r>
      <w:r w:rsidRPr="00DD5201">
        <w:rPr>
          <w:rStyle w:val="Siln"/>
          <w:rFonts w:ascii="Karla" w:hAnsi="Karla"/>
          <w:color w:val="313131"/>
          <w:sz w:val="22"/>
          <w:szCs w:val="22"/>
        </w:rPr>
        <w:t>tico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>?</w:t>
      </w:r>
    </w:p>
    <w:p w14:paraId="3E661386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proofErr w:type="spellStart"/>
      <w:r w:rsidRPr="00DD5201">
        <w:rPr>
          <w:rFonts w:ascii="Karla" w:hAnsi="Karla"/>
          <w:color w:val="313131"/>
          <w:sz w:val="22"/>
          <w:szCs w:val="22"/>
        </w:rPr>
        <w:t>Sí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Muchos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los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textos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tienen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características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léxicas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sintácticas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permiten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una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sin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complicaciones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mediante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traductores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automáticos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ya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están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llegando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cotas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calidad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muy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grandes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primera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gramStart"/>
      <w:r w:rsidRPr="00DD5201">
        <w:rPr>
          <w:rFonts w:ascii="Karla" w:hAnsi="Karla"/>
          <w:color w:val="313131"/>
          <w:sz w:val="22"/>
          <w:szCs w:val="22"/>
        </w:rPr>
        <w:t>o «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pretraducción</w:t>
      </w:r>
      <w:proofErr w:type="spellEnd"/>
      <w:proofErr w:type="gramEnd"/>
      <w:r w:rsidRPr="00DD5201">
        <w:rPr>
          <w:rFonts w:ascii="Karla" w:hAnsi="Karla"/>
          <w:color w:val="313131"/>
          <w:sz w:val="22"/>
          <w:szCs w:val="22"/>
        </w:rPr>
        <w:t xml:space="preserve">»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somete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luego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 una «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posedición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»,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donde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corrigen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posibles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desviaciones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hasta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obtener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una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calidad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similar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 la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traductor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humano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traduzca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con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memoria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… y con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su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cerebro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.</w:t>
      </w:r>
    </w:p>
    <w:p w14:paraId="6D07E3D4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Fonts w:ascii="Karla" w:hAnsi="Karla"/>
          <w:color w:val="313131"/>
          <w:sz w:val="22"/>
          <w:szCs w:val="22"/>
        </w:rPr>
        <w:t xml:space="preserve">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Comisión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Europea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dispone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traductor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automático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desde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1976,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cuando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adquirió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licencia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sistema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SYSTRAN,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creado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universidad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Georgetown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hoy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puede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conseguir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línea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cualquier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profesional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En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actualidad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la UE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cuenta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con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sistema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automática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eTranslation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con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memoria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Euramis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disponibles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solo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para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personas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organismos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autorizados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: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trabajan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con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diecisiete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pares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lenguas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velocidad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es de 500 000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palabras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hora.</w:t>
      </w:r>
    </w:p>
    <w:p w14:paraId="62BC36AC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Style w:val="Siln"/>
          <w:rFonts w:ascii="Cambria" w:hAnsi="Cambria" w:cs="Cambria"/>
          <w:color w:val="313131"/>
          <w:sz w:val="22"/>
          <w:szCs w:val="22"/>
        </w:rPr>
        <w:t>¡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Me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hab</w:t>
      </w:r>
      <w:r w:rsidRPr="00DD5201">
        <w:rPr>
          <w:rStyle w:val="Siln"/>
          <w:rFonts w:ascii="Karla" w:hAnsi="Karla" w:cs="Karla"/>
          <w:color w:val="313131"/>
          <w:sz w:val="22"/>
          <w:szCs w:val="22"/>
        </w:rPr>
        <w:t>í</w:t>
      </w:r>
      <w:r w:rsidRPr="00DD5201">
        <w:rPr>
          <w:rStyle w:val="Siln"/>
          <w:rFonts w:ascii="Karla" w:hAnsi="Karla"/>
          <w:color w:val="313131"/>
          <w:sz w:val="22"/>
          <w:szCs w:val="22"/>
        </w:rPr>
        <w:t>an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dicho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iban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a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eliminar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las </w:t>
      </w:r>
      <w:proofErr w:type="spellStart"/>
      <w:r w:rsidRPr="00DD5201">
        <w:rPr>
          <w:rStyle w:val="Siln"/>
          <w:rFonts w:ascii="Karla" w:hAnsi="Karla"/>
          <w:color w:val="313131"/>
          <w:sz w:val="22"/>
          <w:szCs w:val="22"/>
        </w:rPr>
        <w:t>traducciones</w:t>
      </w:r>
      <w:proofErr w:type="spellEnd"/>
      <w:r w:rsidRPr="00DD5201">
        <w:rPr>
          <w:rStyle w:val="Siln"/>
          <w:rFonts w:ascii="Karla" w:hAnsi="Karla"/>
          <w:color w:val="313131"/>
          <w:sz w:val="22"/>
          <w:szCs w:val="22"/>
        </w:rPr>
        <w:t xml:space="preserve"> en la UE!</w:t>
      </w:r>
    </w:p>
    <w:p w14:paraId="698A4BA9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Fonts w:ascii="Karla" w:hAnsi="Karla"/>
          <w:color w:val="313131"/>
          <w:sz w:val="22"/>
          <w:szCs w:val="22"/>
        </w:rPr>
        <w:t xml:space="preserve">En 2016 se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introdujeron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formularios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normalizados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multilingües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(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momento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optativos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) para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evitar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traducciones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empezaron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vigor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2019. Son una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herramienta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evita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al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ciudadano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molestias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coste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tener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contratar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una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documento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público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(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partidas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nacimiento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o </w:t>
      </w:r>
      <w:proofErr w:type="spellStart"/>
      <w:proofErr w:type="gramStart"/>
      <w:r w:rsidRPr="00DD5201">
        <w:rPr>
          <w:rFonts w:ascii="Karla" w:hAnsi="Karla"/>
          <w:color w:val="313131"/>
          <w:sz w:val="22"/>
          <w:szCs w:val="22"/>
        </w:rPr>
        <w:t>matrimonio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,</w:t>
      </w:r>
      <w:proofErr w:type="gram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etc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.) para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presentarla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otro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Estado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miembro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Con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método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se salta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paso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certificación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parte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traductor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jurado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ejemplo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Formalmente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se trata de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formulario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con los campos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idiomas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(el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país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expedidor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y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país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receptor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del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documento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),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donde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autoridad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expedidora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rellena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casillas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con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información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pertinente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.</w:t>
      </w:r>
    </w:p>
    <w:p w14:paraId="798570CD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r w:rsidRPr="00DD5201">
        <w:rPr>
          <w:rFonts w:ascii="Karla" w:hAnsi="Karla"/>
          <w:color w:val="313131"/>
          <w:sz w:val="22"/>
          <w:szCs w:val="22"/>
        </w:rPr>
        <w:t xml:space="preserve">Pero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formularios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al ser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optativos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no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están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ni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mucho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menos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generalizados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en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toda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Unión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.</w:t>
      </w:r>
    </w:p>
    <w:p w14:paraId="0F456395" w14:textId="77777777" w:rsidR="00DD5201" w:rsidRPr="00DD5201" w:rsidRDefault="00DD5201" w:rsidP="00DD5201">
      <w:pPr>
        <w:pStyle w:val="Normlnweb"/>
        <w:shd w:val="clear" w:color="auto" w:fill="FFFAFA"/>
        <w:spacing w:before="0" w:beforeAutospacing="0" w:after="300" w:afterAutospacing="0"/>
        <w:rPr>
          <w:rFonts w:ascii="Karla" w:hAnsi="Karla"/>
          <w:color w:val="313131"/>
          <w:sz w:val="22"/>
          <w:szCs w:val="22"/>
        </w:rPr>
      </w:pPr>
      <w:proofErr w:type="spellStart"/>
      <w:r w:rsidRPr="00DD5201">
        <w:rPr>
          <w:rFonts w:ascii="Karla" w:hAnsi="Karla"/>
          <w:color w:val="313131"/>
          <w:sz w:val="22"/>
          <w:szCs w:val="22"/>
        </w:rPr>
        <w:t>Por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todo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esto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especialidad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de 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fldChar w:fldCharType="begin"/>
      </w:r>
      <w:r w:rsidRPr="00DD5201">
        <w:rPr>
          <w:rFonts w:ascii="Karla" w:hAnsi="Karla"/>
          <w:color w:val="313131"/>
          <w:sz w:val="22"/>
          <w:szCs w:val="22"/>
        </w:rPr>
        <w:instrText xml:space="preserve"> HYPERLINK "https://sampere.edu.es/curso/traduccion-para-la-union-europea/" </w:instrText>
      </w:r>
      <w:r w:rsidRPr="00DD5201">
        <w:rPr>
          <w:rFonts w:ascii="Karla" w:hAnsi="Karla"/>
          <w:color w:val="313131"/>
          <w:sz w:val="22"/>
          <w:szCs w:val="22"/>
        </w:rPr>
        <w:fldChar w:fldCharType="separate"/>
      </w:r>
      <w:r w:rsidRPr="00DD5201">
        <w:rPr>
          <w:rStyle w:val="Hypertextovodkaz"/>
          <w:rFonts w:ascii="Karla" w:hAnsi="Karla"/>
          <w:sz w:val="22"/>
          <w:szCs w:val="22"/>
        </w:rPr>
        <w:t>traducción</w:t>
      </w:r>
      <w:proofErr w:type="spellEnd"/>
      <w:r w:rsidRPr="00DD5201">
        <w:rPr>
          <w:rStyle w:val="Hypertextovodkaz"/>
          <w:rFonts w:ascii="Karla" w:hAnsi="Karla"/>
          <w:sz w:val="22"/>
          <w:szCs w:val="22"/>
        </w:rPr>
        <w:t xml:space="preserve"> para la UE</w:t>
      </w:r>
      <w:r w:rsidRPr="00DD5201">
        <w:rPr>
          <w:rFonts w:ascii="Karla" w:hAnsi="Karla"/>
          <w:color w:val="313131"/>
          <w:sz w:val="22"/>
          <w:szCs w:val="22"/>
        </w:rPr>
        <w:fldChar w:fldCharType="end"/>
      </w:r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aunque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pueda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parecer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lo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contrario, es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un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campo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apasionante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ágil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e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innovador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, para el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que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merece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la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pena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prepararse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. </w:t>
      </w:r>
      <w:r w:rsidRPr="00DD5201">
        <w:rPr>
          <w:rFonts w:ascii="Cambria" w:hAnsi="Cambria" w:cs="Cambria"/>
          <w:color w:val="313131"/>
          <w:sz w:val="22"/>
          <w:szCs w:val="22"/>
        </w:rPr>
        <w:t>¡</w:t>
      </w:r>
      <w:r w:rsidRPr="00DD5201">
        <w:rPr>
          <w:rFonts w:ascii="Karla" w:hAnsi="Karla"/>
          <w:color w:val="313131"/>
          <w:sz w:val="22"/>
          <w:szCs w:val="22"/>
        </w:rPr>
        <w:t xml:space="preserve">Y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adem</w:t>
      </w:r>
      <w:r w:rsidRPr="00DD5201">
        <w:rPr>
          <w:rFonts w:ascii="Karla" w:hAnsi="Karla" w:cs="Karla"/>
          <w:color w:val="313131"/>
          <w:sz w:val="22"/>
          <w:szCs w:val="22"/>
        </w:rPr>
        <w:t>á</w:t>
      </w:r>
      <w:r w:rsidRPr="00DD5201">
        <w:rPr>
          <w:rFonts w:ascii="Karla" w:hAnsi="Karla"/>
          <w:color w:val="313131"/>
          <w:sz w:val="22"/>
          <w:szCs w:val="22"/>
        </w:rPr>
        <w:t>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Bruselas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no es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tan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fea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como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 xml:space="preserve"> </w:t>
      </w:r>
      <w:proofErr w:type="spellStart"/>
      <w:r w:rsidRPr="00DD5201">
        <w:rPr>
          <w:rFonts w:ascii="Karla" w:hAnsi="Karla"/>
          <w:color w:val="313131"/>
          <w:sz w:val="22"/>
          <w:szCs w:val="22"/>
        </w:rPr>
        <w:t>dicen</w:t>
      </w:r>
      <w:proofErr w:type="spellEnd"/>
      <w:r w:rsidRPr="00DD5201">
        <w:rPr>
          <w:rFonts w:ascii="Karla" w:hAnsi="Karla"/>
          <w:color w:val="313131"/>
          <w:sz w:val="22"/>
          <w:szCs w:val="22"/>
        </w:rPr>
        <w:t>!</w:t>
      </w:r>
    </w:p>
    <w:p w14:paraId="320A450C" w14:textId="77777777" w:rsidR="00DD5201" w:rsidRPr="00DD5201" w:rsidRDefault="00DD5201"/>
    <w:sectPr w:rsidR="00DD5201" w:rsidRPr="00DD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rla">
    <w:charset w:val="EE"/>
    <w:family w:val="auto"/>
    <w:pitch w:val="variable"/>
    <w:sig w:usb0="A00000E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01"/>
    <w:rsid w:val="001D7E69"/>
    <w:rsid w:val="00621C98"/>
    <w:rsid w:val="00D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7332"/>
  <w15:chartTrackingRefBased/>
  <w15:docId w15:val="{A12D3013-F057-48A2-9100-1A914DD6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5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D5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D52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uthor-name">
    <w:name w:val="author-name"/>
    <w:basedOn w:val="Standardnpsmoodstavce"/>
    <w:rsid w:val="00DD5201"/>
  </w:style>
  <w:style w:type="character" w:styleId="Hypertextovodkaz">
    <w:name w:val="Hyperlink"/>
    <w:basedOn w:val="Standardnpsmoodstavce"/>
    <w:uiPriority w:val="99"/>
    <w:semiHidden/>
    <w:unhideWhenUsed/>
    <w:rsid w:val="00DD5201"/>
    <w:rPr>
      <w:color w:val="0000FF"/>
      <w:u w:val="single"/>
    </w:rPr>
  </w:style>
  <w:style w:type="paragraph" w:customStyle="1" w:styleId="author-desc">
    <w:name w:val="author-desc"/>
    <w:basedOn w:val="Normln"/>
    <w:rsid w:val="00D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D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5201"/>
    <w:rPr>
      <w:b/>
      <w:bCs/>
    </w:rPr>
  </w:style>
  <w:style w:type="character" w:styleId="Zdraznn">
    <w:name w:val="Emphasis"/>
    <w:basedOn w:val="Standardnpsmoodstavce"/>
    <w:uiPriority w:val="20"/>
    <w:qFormat/>
    <w:rsid w:val="00DD5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ate.europa.eu/home" TargetMode="External"/><Relationship Id="rId5" Type="http://schemas.openxmlformats.org/officeDocument/2006/relationships/hyperlink" Target="https://sampere.edu.es/author/susana-can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1</cp:revision>
  <cp:lastPrinted>2023-11-03T07:01:00Z</cp:lastPrinted>
  <dcterms:created xsi:type="dcterms:W3CDTF">2023-11-03T07:00:00Z</dcterms:created>
  <dcterms:modified xsi:type="dcterms:W3CDTF">2023-11-03T07:02:00Z</dcterms:modified>
</cp:coreProperties>
</file>