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U13C Klíč ke cvičením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 y 3.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 los / lléva</w:t>
      </w:r>
      <w:r w:rsidDel="00000000" w:rsidR="00000000" w:rsidRPr="00000000">
        <w:rPr>
          <w:u w:val="single"/>
          <w:rtl w:val="0"/>
        </w:rPr>
        <w:t xml:space="preserve">telos</w:t>
      </w:r>
      <w:r w:rsidDel="00000000" w:rsidR="00000000" w:rsidRPr="00000000">
        <w:rPr>
          <w:rtl w:val="0"/>
        </w:rPr>
        <w:t xml:space="preserve">, 2 el mío, 3 me la, 4 te los / Me los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1 se lo, 2 se los, 3 se las, 4 se la, 5 se los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/>
        <w:drawing>
          <wp:inline distB="114300" distT="114300" distL="114300" distR="114300">
            <wp:extent cx="3314700" cy="3467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3467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7.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Sí ha hecho: 1, 4, 5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No ha hecho: 2,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8.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1 Sí, se la pasé el martes a Cristina.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2 No, no se lo he enviado todavía.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3 Le llamé, pero no me ha dado la respuesta.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4 Sí, se las pasé el miércoles.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5 Sí, se lo envié todo al señor Torres, el comercial.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Pronunciación y ortografía</w:t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 y 2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esdrújulas: rápido, ácido, lápices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llanas: lápiz, papelera, examen, trabajo, alemana, coche, crisis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agudas: limón, japonés, lección, sofá, escribir, rapidez, iraní, ordenador</w:t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3.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Llevan tilde las palabras agudas que terminan en </w:t>
      </w:r>
      <w:r w:rsidDel="00000000" w:rsidR="00000000" w:rsidRPr="00000000">
        <w:rPr>
          <w:u w:val="single"/>
          <w:rtl w:val="0"/>
        </w:rPr>
        <w:t xml:space="preserve">vocal</w:t>
      </w:r>
      <w:r w:rsidDel="00000000" w:rsidR="00000000" w:rsidRPr="00000000">
        <w:rPr>
          <w:rtl w:val="0"/>
        </w:rPr>
        <w:t xml:space="preserve">, en </w:t>
      </w:r>
      <w:r w:rsidDel="00000000" w:rsidR="00000000" w:rsidRPr="00000000">
        <w:rPr>
          <w:u w:val="single"/>
          <w:rtl w:val="0"/>
        </w:rPr>
        <w:t xml:space="preserve">n</w:t>
      </w:r>
      <w:r w:rsidDel="00000000" w:rsidR="00000000" w:rsidRPr="00000000">
        <w:rPr>
          <w:rtl w:val="0"/>
        </w:rPr>
        <w:t xml:space="preserve"> o en </w:t>
      </w:r>
      <w:r w:rsidDel="00000000" w:rsidR="00000000" w:rsidRPr="00000000">
        <w:rPr>
          <w:u w:val="single"/>
          <w:rtl w:val="0"/>
        </w:rPr>
        <w:t xml:space="preserve">s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No llevan tilde las palabras llanas que terminan en </w:t>
      </w:r>
      <w:r w:rsidDel="00000000" w:rsidR="00000000" w:rsidRPr="00000000">
        <w:rPr>
          <w:u w:val="single"/>
          <w:rtl w:val="0"/>
        </w:rPr>
        <w:t xml:space="preserve">vocal</w:t>
      </w:r>
      <w:r w:rsidDel="00000000" w:rsidR="00000000" w:rsidRPr="00000000">
        <w:rPr>
          <w:rtl w:val="0"/>
        </w:rPr>
        <w:t xml:space="preserve">, en </w:t>
      </w:r>
      <w:r w:rsidDel="00000000" w:rsidR="00000000" w:rsidRPr="00000000">
        <w:rPr>
          <w:u w:val="single"/>
          <w:rtl w:val="0"/>
        </w:rPr>
        <w:t xml:space="preserve">n</w:t>
      </w:r>
      <w:r w:rsidDel="00000000" w:rsidR="00000000" w:rsidRPr="00000000">
        <w:rPr>
          <w:rtl w:val="0"/>
        </w:rPr>
        <w:t xml:space="preserve"> o en </w:t>
      </w:r>
      <w:r w:rsidDel="00000000" w:rsidR="00000000" w:rsidRPr="00000000">
        <w:rPr>
          <w:u w:val="single"/>
          <w:rtl w:val="0"/>
        </w:rPr>
        <w:t xml:space="preserve">s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Llevan tilde </w:t>
      </w:r>
      <w:r w:rsidDel="00000000" w:rsidR="00000000" w:rsidRPr="00000000">
        <w:rPr>
          <w:u w:val="single"/>
          <w:rtl w:val="0"/>
        </w:rPr>
        <w:t xml:space="preserve">todas </w:t>
      </w:r>
      <w:r w:rsidDel="00000000" w:rsidR="00000000" w:rsidRPr="00000000">
        <w:rPr>
          <w:rtl w:val="0"/>
        </w:rPr>
        <w:t xml:space="preserve">la palabras esdrújulas.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