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U14A Klíč ke cvičením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2, 4, 6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viajaba, 2 había, 3 vivía, 4 tenían, 5 había, 6 llevaban, 7 hacían (Valor: Hábitos en el pasado.)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 Su padre era conductor de tranvía.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 Iba andando porque no había transporte público.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 A los catorce años.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 Iba a bailar o al teatro.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 No, las mujeres no entraban solas en los cafés porque estaba mal visto.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 Iba a la puerta del Palacio Real a ver el cambio de guardia.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7 Trabajó en una pastelería.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8 Trabajó de tipógrafo en una imprenta.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no veía a sus padres a menudo, / vivía en su casa, / no tomaba café, / no hablaba en inglés, / no conocía a mucha gente, / nunca tenía miedo, / pero no le gustaba mucho su trabajo y su vida.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 era, 2 gustaba, 3 trabajó, 4 tenía / compré, 5 tenía, 6 conocieron, 7 vio / pareció, 8 vimos / gustó, 9 gustaba / hicieron, 10 salían, 11 vivieron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