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8867" w14:textId="6421E8BA" w:rsidR="00EA4699" w:rsidRPr="004C208D" w:rsidRDefault="004C20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="00884E5B">
        <w:rPr>
          <w:b/>
          <w:sz w:val="32"/>
          <w:szCs w:val="32"/>
        </w:rPr>
        <w:t xml:space="preserve">         </w:t>
      </w:r>
      <w:bookmarkStart w:id="0" w:name="_GoBack"/>
      <w:bookmarkEnd w:id="0"/>
      <w:r w:rsidR="00884E5B">
        <w:rPr>
          <w:b/>
          <w:sz w:val="32"/>
          <w:szCs w:val="32"/>
        </w:rPr>
        <w:t>Tabulka č.</w:t>
      </w:r>
      <w:r w:rsidRPr="004C208D">
        <w:rPr>
          <w:b/>
          <w:sz w:val="32"/>
          <w:szCs w:val="32"/>
        </w:rPr>
        <w:t xml:space="preserve"> 2.18</w:t>
      </w:r>
    </w:p>
    <w:p w14:paraId="1E2F0F98" w14:textId="0E75EA07" w:rsidR="00CC3B13" w:rsidRDefault="00CC3B13"/>
    <w:p w14:paraId="5C9FBDAC" w14:textId="12338FB1" w:rsidR="00CC3B13" w:rsidRDefault="004C208D">
      <w:r>
        <w:t xml:space="preserve">          </w:t>
      </w:r>
    </w:p>
    <w:p w14:paraId="60489624" w14:textId="5BB4C203" w:rsidR="00CC3B13" w:rsidRDefault="00CC3B13"/>
    <w:p w14:paraId="072ACB0A" w14:textId="77777777" w:rsidR="00CC3B13" w:rsidRDefault="00CC3B13" w:rsidP="00CC3B1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Přepis </w:t>
      </w:r>
      <w:proofErr w:type="spellStart"/>
      <w:r>
        <w:rPr>
          <w:b/>
          <w:i/>
          <w:sz w:val="32"/>
          <w:szCs w:val="32"/>
        </w:rPr>
        <w:t>Seikilovy</w:t>
      </w:r>
      <w:proofErr w:type="spellEnd"/>
      <w:r>
        <w:rPr>
          <w:b/>
          <w:i/>
          <w:sz w:val="32"/>
          <w:szCs w:val="32"/>
        </w:rPr>
        <w:t xml:space="preserve"> písně </w:t>
      </w:r>
    </w:p>
    <w:p w14:paraId="0FBBE6FC" w14:textId="029D8534" w:rsidR="00CC3B13" w:rsidRDefault="00CC3B13" w:rsidP="00CC3B13">
      <w:pPr>
        <w:jc w:val="center"/>
        <w:rPr>
          <w:i/>
          <w:color w:val="0000FF"/>
          <w:sz w:val="20"/>
          <w:szCs w:val="20"/>
        </w:rPr>
      </w:pPr>
      <w:r>
        <w:rPr>
          <w:i/>
          <w:sz w:val="20"/>
          <w:szCs w:val="20"/>
        </w:rPr>
        <w:t>(</w:t>
      </w:r>
      <w:r w:rsidR="00FC316E">
        <w:rPr>
          <w:i/>
          <w:sz w:val="20"/>
          <w:szCs w:val="20"/>
        </w:rPr>
        <w:t>komentář k př</w:t>
      </w:r>
      <w:r w:rsidR="001007C0">
        <w:rPr>
          <w:i/>
          <w:sz w:val="20"/>
          <w:szCs w:val="20"/>
        </w:rPr>
        <w:t>e</w:t>
      </w:r>
      <w:r w:rsidR="00FC316E">
        <w:rPr>
          <w:i/>
          <w:sz w:val="20"/>
          <w:szCs w:val="20"/>
        </w:rPr>
        <w:t>pisu</w:t>
      </w:r>
      <w:r>
        <w:rPr>
          <w:i/>
          <w:sz w:val="20"/>
          <w:szCs w:val="20"/>
        </w:rPr>
        <w:t xml:space="preserve"> – určení tónorodu)</w:t>
      </w:r>
    </w:p>
    <w:p w14:paraId="3698FA0E" w14:textId="77777777" w:rsidR="00CC3B13" w:rsidRDefault="00CC3B13" w:rsidP="00CC3B13">
      <w:pPr>
        <w:ind w:left="360"/>
        <w:jc w:val="center"/>
        <w:rPr>
          <w:b/>
          <w:color w:val="0000FF"/>
        </w:rPr>
      </w:pPr>
      <w:r>
        <w:rPr>
          <w:b/>
          <w:color w:val="0000FF"/>
        </w:rPr>
        <w:t>Ukázka č. 2.08</w:t>
      </w:r>
    </w:p>
    <w:p w14:paraId="25BDC7C6" w14:textId="77777777" w:rsidR="00CC3B13" w:rsidRDefault="00CC3B13" w:rsidP="00CC3B13">
      <w:pPr>
        <w:ind w:left="360"/>
        <w:jc w:val="center"/>
        <w:rPr>
          <w:b/>
          <w:color w:val="0000FF"/>
        </w:rPr>
      </w:pPr>
    </w:p>
    <w:p w14:paraId="7CA5C4DA" w14:textId="77777777" w:rsidR="00CC3B13" w:rsidRDefault="00CC3B13" w:rsidP="00CC3B13">
      <w:r>
        <w:rPr>
          <w:b/>
        </w:rPr>
        <w:t>Volba notace:</w:t>
      </w:r>
      <w:r>
        <w:t xml:space="preserve"> Notace je </w:t>
      </w:r>
      <w:proofErr w:type="gramStart"/>
      <w:r>
        <w:t>vokální - používá</w:t>
      </w:r>
      <w:proofErr w:type="gramEnd"/>
      <w:r>
        <w:t xml:space="preserve"> znaky řecké abecedy.  </w:t>
      </w:r>
    </w:p>
    <w:p w14:paraId="7E7DDBCC" w14:textId="6C408097" w:rsidR="00CC3B13" w:rsidRDefault="00CC3B13" w:rsidP="00CC3B13">
      <w:r>
        <w:rPr>
          <w:b/>
        </w:rPr>
        <w:t>Volba tónorodu:</w:t>
      </w:r>
      <w:r>
        <w:t xml:space="preserve"> Zápis nemůže být v diatonickém tónorodu, protože ke znaku „K“ v diatonickém tónor</w:t>
      </w:r>
      <w:r w:rsidR="008A7367">
        <w:t>o</w:t>
      </w:r>
      <w:r>
        <w:t xml:space="preserve">du nenáleží žádný tón. Zbývají tedy tónorod chromatický a enharmonický. Chromatický tónorod nepřipadá rovněž v úvahu, protože jej vylučuje </w:t>
      </w:r>
    </w:p>
    <w:p w14:paraId="3D662402" w14:textId="77777777" w:rsidR="00CC3B13" w:rsidRDefault="00CC3B13" w:rsidP="00CC3B13">
      <w:r>
        <w:t xml:space="preserve">sled znaků </w:t>
      </w:r>
      <w:proofErr w:type="gramStart"/>
      <w:r>
        <w:t>K - I</w:t>
      </w:r>
      <w:proofErr w:type="gramEnd"/>
      <w:r>
        <w:t xml:space="preserve"> - Z.</w:t>
      </w:r>
    </w:p>
    <w:p w14:paraId="12804728" w14:textId="77777777" w:rsidR="00CC3B13" w:rsidRDefault="00CC3B13" w:rsidP="00CC3B13">
      <w:r>
        <w:t>Pokud by znak „</w:t>
      </w:r>
      <w:r>
        <w:rPr>
          <w:b/>
        </w:rPr>
        <w:t>K“ </w:t>
      </w:r>
      <w:r>
        <w:t>byl čten jako člen chromatického tónorodu, potom bychom dostali</w:t>
      </w:r>
    </w:p>
    <w:p w14:paraId="5E36889F" w14:textId="77777777" w:rsidR="00CC3B13" w:rsidRDefault="00CC3B13" w:rsidP="00CC3B13">
      <w:pPr>
        <w:jc w:val="both"/>
      </w:pPr>
      <w:proofErr w:type="gramStart"/>
      <w:r>
        <w:t>sled  „</w:t>
      </w:r>
      <w:proofErr w:type="gramEnd"/>
      <w:r>
        <w:t>d</w:t>
      </w:r>
      <w:r>
        <w:rPr>
          <w:vertAlign w:val="subscript"/>
        </w:rPr>
        <w:t>1</w:t>
      </w:r>
      <w:r>
        <w:t xml:space="preserve"> – d</w:t>
      </w:r>
      <w:r>
        <w:rPr>
          <w:vertAlign w:val="subscript"/>
        </w:rPr>
        <w:t>1</w:t>
      </w:r>
      <w:r>
        <w:t xml:space="preserve"> – e</w:t>
      </w:r>
      <w:r>
        <w:rPr>
          <w:vertAlign w:val="subscript"/>
        </w:rPr>
        <w:t>1</w:t>
      </w:r>
      <w:r>
        <w:t>“ a museli bychom vysvětlit proč jsou pro tentýž  tón při jeho  opakování</w:t>
      </w:r>
    </w:p>
    <w:p w14:paraId="6D24135A" w14:textId="77777777" w:rsidR="00CC3B13" w:rsidRDefault="00CC3B13" w:rsidP="00CC3B13">
      <w:pPr>
        <w:jc w:val="both"/>
      </w:pPr>
      <w:r>
        <w:t>používány dva různé znaky. Vysvětlení je pouze takové, že znak „K“ musí být čten</w:t>
      </w:r>
    </w:p>
    <w:p w14:paraId="1C074A80" w14:textId="77777777" w:rsidR="00CC3B13" w:rsidRDefault="00CC3B13" w:rsidP="00CC3B13">
      <w:pPr>
        <w:jc w:val="both"/>
      </w:pPr>
      <w:r>
        <w:t>v enharmonickém tónorodu, tedy jako „cis</w:t>
      </w:r>
      <w:r>
        <w:rPr>
          <w:vertAlign w:val="subscript"/>
        </w:rPr>
        <w:t>1</w:t>
      </w:r>
      <w:r>
        <w:t xml:space="preserve">“. Potom má sled znaků nejen melodický, ale </w:t>
      </w:r>
    </w:p>
    <w:p w14:paraId="5EC1CC11" w14:textId="77777777" w:rsidR="00CC3B13" w:rsidRDefault="00CC3B13" w:rsidP="00CC3B13">
      <w:pPr>
        <w:jc w:val="both"/>
      </w:pPr>
      <w:r>
        <w:t xml:space="preserve">také „pravopisný“ smysl. Totéž platí pro sled znaků </w:t>
      </w:r>
      <w:proofErr w:type="gramStart"/>
      <w:r>
        <w:t>I - K</w:t>
      </w:r>
      <w:proofErr w:type="gramEnd"/>
    </w:p>
    <w:p w14:paraId="4BBE9186" w14:textId="77777777" w:rsidR="00CC3B13" w:rsidRDefault="00CC3B13" w:rsidP="00CC3B13"/>
    <w:p w14:paraId="68E1AA5A" w14:textId="77777777" w:rsidR="00CC3B13" w:rsidRDefault="00CC3B13" w:rsidP="00CC3B13">
      <w:pPr>
        <w:rPr>
          <w:b/>
        </w:rPr>
      </w:pPr>
      <w:r>
        <w:rPr>
          <w:b/>
        </w:rPr>
        <w:t>Používání teček nad samostatnými notačními znaky.</w:t>
      </w:r>
    </w:p>
    <w:p w14:paraId="34513562" w14:textId="50F6854D" w:rsidR="00CC3B13" w:rsidRDefault="00CC3B13" w:rsidP="00CC3B13">
      <w:r>
        <w:t xml:space="preserve">Tečky se vyskytují nad samostatnými notačními znaky jako „varovná“ návěstidla  </w:t>
      </w:r>
    </w:p>
    <w:p w14:paraId="2A79BFA7" w14:textId="77777777" w:rsidR="00CC3B13" w:rsidRDefault="00CC3B13" w:rsidP="00CC3B13">
      <w:pPr>
        <w:numPr>
          <w:ilvl w:val="0"/>
          <w:numId w:val="1"/>
        </w:numPr>
      </w:pPr>
      <w:r>
        <w:t xml:space="preserve">v situacích, kdy dochází k ligaturám, tj. když se s jednou slabikou váže více tónů – viz 10. znak Z před ligaturou </w:t>
      </w:r>
      <w:proofErr w:type="gramStart"/>
      <w:r>
        <w:t>I - K</w:t>
      </w:r>
      <w:proofErr w:type="gramEnd"/>
      <w:r>
        <w:t>, která má jako celek metrickou hodnotu „</w:t>
      </w:r>
      <w:proofErr w:type="spellStart"/>
      <w:r>
        <w:t>bisémos</w:t>
      </w:r>
      <w:proofErr w:type="spellEnd"/>
      <w:r>
        <w:t xml:space="preserve">“, tj. noty čtvrťové (prodlužovací vodorovná čárka), ovšem obě noty, které tuto ligaturu tvoří jsou stejné, tj. osminové. </w:t>
      </w:r>
    </w:p>
    <w:p w14:paraId="1BBA3559" w14:textId="77777777" w:rsidR="00CC3B13" w:rsidRDefault="00CC3B13" w:rsidP="00CC3B13">
      <w:pPr>
        <w:numPr>
          <w:ilvl w:val="0"/>
          <w:numId w:val="1"/>
        </w:numPr>
      </w:pPr>
      <w:r>
        <w:t xml:space="preserve">v situacích, kdy jde o sled samostatných tónů, ovšem některý z nich nese dvě hlásky </w:t>
      </w:r>
    </w:p>
    <w:p w14:paraId="519D5C57" w14:textId="77777777" w:rsidR="00CC3B13" w:rsidRDefault="00CC3B13" w:rsidP="00CC3B13">
      <w:pPr>
        <w:pBdr>
          <w:bottom w:val="single" w:sz="12" w:space="1" w:color="auto"/>
        </w:pBdr>
        <w:ind w:left="360"/>
      </w:pPr>
      <w:r>
        <w:t xml:space="preserve">     (viz 4. řádek).</w:t>
      </w:r>
    </w:p>
    <w:p w14:paraId="1CEC5A9C" w14:textId="77777777" w:rsidR="00CC3B13" w:rsidRDefault="00CC3B13" w:rsidP="00CC3B13">
      <w:pPr>
        <w:pBdr>
          <w:bottom w:val="single" w:sz="12" w:space="1" w:color="auto"/>
        </w:pBdr>
        <w:ind w:left="360"/>
      </w:pPr>
    </w:p>
    <w:p w14:paraId="325CE6D1" w14:textId="77777777" w:rsidR="00CC3B13" w:rsidRDefault="00CC3B13" w:rsidP="00CC3B13">
      <w:pPr>
        <w:pBdr>
          <w:bottom w:val="single" w:sz="12" w:space="1" w:color="auto"/>
        </w:pBdr>
        <w:ind w:left="360"/>
      </w:pPr>
    </w:p>
    <w:p w14:paraId="4083CC40" w14:textId="77777777" w:rsidR="00CC3B13" w:rsidRDefault="00CC3B13"/>
    <w:sectPr w:rsidR="00CC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4644"/>
    <w:multiLevelType w:val="hybridMultilevel"/>
    <w:tmpl w:val="84F65E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85"/>
    <w:rsid w:val="001007C0"/>
    <w:rsid w:val="004C208D"/>
    <w:rsid w:val="00884E5B"/>
    <w:rsid w:val="008A7367"/>
    <w:rsid w:val="008B28C9"/>
    <w:rsid w:val="00C34585"/>
    <w:rsid w:val="00CC3B13"/>
    <w:rsid w:val="00EA4699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0045"/>
  <w15:chartTrackingRefBased/>
  <w15:docId w15:val="{C50A1EF6-EF87-4247-B841-305590FB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B13"/>
    <w:pPr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2022-10-15T08:01:00Z</dcterms:created>
  <dcterms:modified xsi:type="dcterms:W3CDTF">2024-09-15T09:28:00Z</dcterms:modified>
</cp:coreProperties>
</file>