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05E" w:rsidRDefault="0064705E">
      <w:pPr>
        <w:spacing w:line="1" w:lineRule="exact"/>
      </w:pPr>
    </w:p>
    <w:p w:rsidR="0064705E" w:rsidRDefault="00DF7F2A">
      <w:pPr>
        <w:pStyle w:val="Zhlavnebozpat0"/>
        <w:framePr w:wrap="none" w:vAnchor="page" w:hAnchor="page" w:x="741" w:y="340"/>
        <w:shd w:val="clear" w:color="auto" w:fill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[168]</w:t>
      </w:r>
    </w:p>
    <w:p w:rsidR="0064705E" w:rsidRDefault="00DF7F2A">
      <w:pPr>
        <w:pStyle w:val="Zhlavnebozpat0"/>
        <w:framePr w:wrap="none" w:vAnchor="page" w:hAnchor="page" w:x="12300" w:y="316"/>
        <w:shd w:val="clear" w:color="auto" w:fill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[169]</w:t>
      </w:r>
    </w:p>
    <w:p w:rsidR="0064705E" w:rsidRDefault="00DF7F2A">
      <w:pPr>
        <w:pStyle w:val="Zkladntext30"/>
        <w:framePr w:w="5477" w:h="9701" w:hRule="exact" w:wrap="none" w:vAnchor="page" w:hAnchor="page" w:x="722" w:y="796"/>
        <w:shd w:val="clear" w:color="auto" w:fill="auto"/>
        <w:spacing w:after="240" w:line="252" w:lineRule="auto"/>
        <w:jc w:val="both"/>
      </w:pPr>
      <w:r>
        <w:t xml:space="preserve">Paul </w:t>
      </w:r>
      <w:proofErr w:type="spellStart"/>
      <w:r>
        <w:t>Bourget</w:t>
      </w:r>
      <w:proofErr w:type="spellEnd"/>
      <w:r>
        <w:t xml:space="preserve">, jeden z hlavních zastánců „psychologického </w:t>
      </w:r>
      <w:proofErr w:type="spellStart"/>
      <w:r>
        <w:t>roniA</w:t>
      </w:r>
      <w:proofErr w:type="spellEnd"/>
      <w:r>
        <w:t xml:space="preserve"> nu“, je jen o dvanáct let mladší než </w:t>
      </w:r>
      <w:proofErr w:type="spellStart"/>
      <w:r>
        <w:t>Zola</w:t>
      </w:r>
      <w:proofErr w:type="spellEnd"/>
      <w:r>
        <w:t xml:space="preserve">. Ten ostatně </w:t>
      </w:r>
      <w:proofErr w:type="spellStart"/>
      <w:r>
        <w:t>neopomní</w:t>
      </w:r>
      <w:proofErr w:type="spellEnd"/>
      <w:r>
        <w:t xml:space="preserve">, upozornit na rozdíl mezi sociálním věkem (pozicí) a „skutečným věkem: „Všichni tihle mladíci mezi </w:t>
      </w:r>
      <w:r>
        <w:t xml:space="preserve">třicítkou a čtyřicítkou se nim </w:t>
      </w:r>
      <w:proofErr w:type="spellStart"/>
      <w:r>
        <w:t>rají</w:t>
      </w:r>
      <w:proofErr w:type="spellEnd"/>
      <w:r>
        <w:t xml:space="preserve"> v titěrnostech a podobných pitomostech, i když doba je vážím a jde o další směřování idejí. Připadají mi jako ořechové skořápky tančící nad Niagarským vodopádem! Pod sebou nemají nic, jen </w:t>
      </w:r>
      <w:proofErr w:type="spellStart"/>
      <w:r>
        <w:t>gi</w:t>
      </w:r>
      <w:proofErr w:type="spellEnd"/>
      <w:r>
        <w:t xml:space="preserve"> </w:t>
      </w:r>
      <w:proofErr w:type="spellStart"/>
      <w:r>
        <w:t>gantickou</w:t>
      </w:r>
      <w:proofErr w:type="spellEnd"/>
      <w:r>
        <w:t>, prázdnou domýšlivo</w:t>
      </w:r>
      <w:r>
        <w:t>st!“</w:t>
      </w:r>
      <w:r>
        <w:rPr>
          <w:vertAlign w:val="superscript"/>
        </w:rPr>
        <w:t>10</w:t>
      </w:r>
      <w:r>
        <w:t>)</w:t>
      </w:r>
    </w:p>
    <w:p w:rsidR="0064705E" w:rsidRDefault="00DF7F2A">
      <w:pPr>
        <w:pStyle w:val="Zkladntext1"/>
        <w:framePr w:w="5477" w:h="9701" w:hRule="exact" w:wrap="none" w:vAnchor="page" w:hAnchor="page" w:x="722" w:y="796"/>
        <w:shd w:val="clear" w:color="auto" w:fill="auto"/>
        <w:ind w:firstLine="0"/>
        <w:jc w:val="both"/>
      </w:pPr>
      <w:r>
        <w:t>Kdo obsadili pozici avantgardy, avšak nedosáhli uznání především ti (biologicky) starší —, mají zájem na tom, aby výše zmíněný druhotný protiklad mezi avantgardou a pošvě cenou avantgardou převedli na hlavní protiklad a prezentu váli úspěchy a věhl</w:t>
      </w:r>
      <w:r>
        <w:t xml:space="preserve">as, jehož se avantgardním kolegům po dlouhé době dostalo, jako důsledek sebepopření či </w:t>
      </w:r>
      <w:proofErr w:type="spellStart"/>
      <w:r>
        <w:t>kompro</w:t>
      </w:r>
      <w:proofErr w:type="spellEnd"/>
      <w:r>
        <w:t xml:space="preserve"> </w:t>
      </w:r>
      <w:proofErr w:type="spellStart"/>
      <w:r>
        <w:t>misu</w:t>
      </w:r>
      <w:proofErr w:type="spellEnd"/>
      <w:r>
        <w:t xml:space="preserve"> s měšťanskými pořádky. Argumentuje se tím, že měň </w:t>
      </w:r>
      <w:proofErr w:type="spellStart"/>
      <w:r>
        <w:t>ťanské</w:t>
      </w:r>
      <w:proofErr w:type="spellEnd"/>
      <w:r>
        <w:t xml:space="preserve"> posvěcení a ekonomické zisky, zvýrazněné poctami (Francouzská akademie, literární ceny apod.), sice </w:t>
      </w:r>
      <w:r>
        <w:t xml:space="preserve">připit dají hlavně spisovatelům píšícím pro měšťanský trh a trh masové spotřeby, avšak týkají se rovněž té </w:t>
      </w:r>
      <w:proofErr w:type="spellStart"/>
      <w:r>
        <w:t>nejkonfornu</w:t>
      </w:r>
      <w:proofErr w:type="spellEnd"/>
      <w:r>
        <w:t xml:space="preserve"> </w:t>
      </w:r>
      <w:proofErr w:type="spellStart"/>
      <w:r>
        <w:t>tičtější</w:t>
      </w:r>
      <w:proofErr w:type="spellEnd"/>
      <w:r>
        <w:t xml:space="preserve"> výseče avantgardy, právě té, která dosáhla uznáni Francouzská akademie totiž vždy vyhrazovala několik málu míst „čistým“ spisova</w:t>
      </w:r>
      <w:r>
        <w:t xml:space="preserve">telům, jako byl </w:t>
      </w:r>
      <w:proofErr w:type="spellStart"/>
      <w:r>
        <w:t>Leconte</w:t>
      </w:r>
      <w:proofErr w:type="spellEnd"/>
      <w:r>
        <w:t xml:space="preserve"> de </w:t>
      </w:r>
      <w:proofErr w:type="spellStart"/>
      <w:r>
        <w:t>Lisle</w:t>
      </w:r>
      <w:proofErr w:type="spellEnd"/>
      <w:r>
        <w:t xml:space="preserve">, </w:t>
      </w:r>
      <w:proofErr w:type="spellStart"/>
      <w:proofErr w:type="gramStart"/>
      <w:r>
        <w:t>viul</w:t>
      </w:r>
      <w:proofErr w:type="spellEnd"/>
      <w:proofErr w:type="gramEnd"/>
      <w:r>
        <w:t xml:space="preserve"> </w:t>
      </w:r>
      <w:r>
        <w:rPr>
          <w:i/>
          <w:iCs/>
        </w:rPr>
        <w:t>čí</w:t>
      </w:r>
      <w:r>
        <w:t xml:space="preserve"> osobnost parnasistů. Také on — ač v předmluvě k </w:t>
      </w:r>
      <w:proofErr w:type="spellStart"/>
      <w:r>
        <w:rPr>
          <w:i/>
          <w:iCs/>
        </w:rPr>
        <w:t>Anttc</w:t>
      </w:r>
      <w:proofErr w:type="spellEnd"/>
      <w:r>
        <w:rPr>
          <w:i/>
          <w:iCs/>
        </w:rPr>
        <w:t xml:space="preserve"> kým básním</w:t>
      </w:r>
      <w:r>
        <w:t xml:space="preserve"> (1852) hlásal obnovu ztracené čistoty a </w:t>
      </w:r>
      <w:proofErr w:type="spellStart"/>
      <w:r>
        <w:t>odmíl</w:t>
      </w:r>
      <w:proofErr w:type="spellEnd"/>
      <w:r>
        <w:t xml:space="preserve"> ni módnost — totiž nakonec získal křeslo v Akademii a </w:t>
      </w:r>
      <w:proofErr w:type="spellStart"/>
      <w:r>
        <w:t>stužk</w:t>
      </w:r>
      <w:proofErr w:type="spellEnd"/>
      <w:r>
        <w:t xml:space="preserve"> u Čestné legie. Proto chce-li kdo uniknout </w:t>
      </w:r>
      <w:r>
        <w:t xml:space="preserve">přiřazení k měň </w:t>
      </w:r>
      <w:proofErr w:type="spellStart"/>
      <w:r>
        <w:t>ťanskému</w:t>
      </w:r>
      <w:proofErr w:type="spellEnd"/>
      <w:r>
        <w:t xml:space="preserve"> umění, a v důsledku toho i sociálnímu stárnuti musí vytrvat v odmítání společenských znaků uznání — vy znamenání, cen, členství v akademiích a poct všeho druhu</w:t>
      </w:r>
    </w:p>
    <w:p w:rsidR="0064705E" w:rsidRDefault="00DF7F2A">
      <w:pPr>
        <w:pStyle w:val="Zkladntext1"/>
        <w:framePr w:w="5477" w:h="9701" w:hRule="exact" w:wrap="none" w:vAnchor="page" w:hAnchor="page" w:x="722" w:y="796"/>
        <w:shd w:val="clear" w:color="auto" w:fill="auto"/>
        <w:spacing w:after="360"/>
        <w:ind w:firstLine="300"/>
      </w:pPr>
      <w:r>
        <w:t xml:space="preserve">Po období naturalismu se v románě a s příchodem n </w:t>
      </w:r>
      <w:proofErr w:type="spellStart"/>
      <w:r>
        <w:t>žisérské</w:t>
      </w:r>
      <w:proofErr w:type="spellEnd"/>
      <w:r>
        <w:t xml:space="preserve"> revoluce tak</w:t>
      </w:r>
      <w:r>
        <w:t xml:space="preserve">é v divadle začínají konečně </w:t>
      </w:r>
      <w:proofErr w:type="spellStart"/>
      <w:r>
        <w:t>prosazo</w:t>
      </w:r>
      <w:proofErr w:type="spellEnd"/>
      <w:r>
        <w:t xml:space="preserve"> vat jevové struktury a podoby změn, které platily v poezii Ta totiž už delší dobu pulzovala rytmem revolucí — od ro mantické k parnasistní a symbolistické. A sled revoluci, přinejmenším těch zamýšlených, pokud neuspěly,</w:t>
      </w:r>
      <w:r>
        <w:t xml:space="preserve"> vrcholí na počátku dvacátého století v „literární anarchii“, jak </w:t>
      </w:r>
      <w:proofErr w:type="spellStart"/>
      <w:r>
        <w:t>jl</w:t>
      </w:r>
      <w:proofErr w:type="spellEnd"/>
    </w:p>
    <w:p w:rsidR="0064705E" w:rsidRDefault="00DF7F2A">
      <w:pPr>
        <w:pStyle w:val="Zkladntext20"/>
        <w:framePr w:w="5477" w:h="9701" w:hRule="exact" w:wrap="none" w:vAnchor="page" w:hAnchor="page" w:x="722" w:y="796"/>
        <w:shd w:val="clear" w:color="auto" w:fill="auto"/>
        <w:tabs>
          <w:tab w:val="left" w:leader="dot" w:pos="5376"/>
        </w:tabs>
        <w:spacing w:after="0" w:line="240" w:lineRule="auto"/>
        <w:ind w:left="0" w:firstLine="0"/>
        <w:jc w:val="both"/>
      </w:pPr>
      <w:r>
        <w:t xml:space="preserve">10) J. </w:t>
      </w:r>
      <w:proofErr w:type="spellStart"/>
      <w:r>
        <w:t>Huret</w:t>
      </w:r>
      <w:proofErr w:type="spellEnd"/>
      <w:r>
        <w:t xml:space="preserve">: </w:t>
      </w:r>
      <w:proofErr w:type="spellStart"/>
      <w:r>
        <w:rPr>
          <w:i/>
          <w:iCs/>
        </w:rPr>
        <w:t>Enquětesur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l’évolution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littéraire</w:t>
      </w:r>
      <w:proofErr w:type="spellEnd"/>
      <w:r>
        <w:t xml:space="preserve"> (Paris: </w:t>
      </w:r>
      <w:proofErr w:type="spellStart"/>
      <w:r>
        <w:t>Charpentier</w:t>
      </w:r>
      <w:proofErr w:type="spellEnd"/>
      <w:r>
        <w:t xml:space="preserve">, 1981); nové </w:t>
      </w:r>
      <w:proofErr w:type="spellStart"/>
      <w:r>
        <w:t>vyil</w:t>
      </w:r>
      <w:proofErr w:type="spellEnd"/>
      <w:r>
        <w:tab/>
      </w:r>
    </w:p>
    <w:p w:rsidR="0064705E" w:rsidRDefault="00DF7F2A">
      <w:pPr>
        <w:pStyle w:val="Zkladntext20"/>
        <w:framePr w:w="5477" w:h="9701" w:hRule="exact" w:wrap="none" w:vAnchor="page" w:hAnchor="page" w:x="722" w:y="796"/>
        <w:shd w:val="clear" w:color="auto" w:fill="auto"/>
        <w:spacing w:after="0" w:line="240" w:lineRule="auto"/>
        <w:ind w:left="0" w:firstLine="300"/>
        <w:jc w:val="both"/>
      </w:pPr>
      <w:r>
        <w:t xml:space="preserve">s poznámkami </w:t>
      </w:r>
      <w:proofErr w:type="spellStart"/>
      <w:r>
        <w:t>apředmluvou</w:t>
      </w:r>
      <w:proofErr w:type="spellEnd"/>
      <w:r>
        <w:t xml:space="preserve"> D. </w:t>
      </w:r>
      <w:proofErr w:type="spellStart"/>
      <w:r>
        <w:t>Grojnowského</w:t>
      </w:r>
      <w:proofErr w:type="spellEnd"/>
      <w:r>
        <w:t xml:space="preserve"> (</w:t>
      </w:r>
      <w:proofErr w:type="spellStart"/>
      <w:r>
        <w:t>Vanves</w:t>
      </w:r>
      <w:proofErr w:type="spellEnd"/>
      <w:r>
        <w:t xml:space="preserve">: </w:t>
      </w:r>
      <w:proofErr w:type="spellStart"/>
      <w:r>
        <w:t>Thot</w:t>
      </w:r>
      <w:proofErr w:type="spellEnd"/>
      <w:r>
        <w:t>, 1982), s. 158</w:t>
      </w:r>
    </w:p>
    <w:p w:rsidR="0064705E" w:rsidRDefault="00DF7F2A">
      <w:pPr>
        <w:pStyle w:val="Titulektabulky0"/>
        <w:framePr w:wrap="none" w:vAnchor="page" w:hAnchor="page" w:x="7289" w:y="762"/>
        <w:shd w:val="clear" w:color="auto" w:fill="auto"/>
      </w:pPr>
      <w:r>
        <w:t xml:space="preserve">Pole kulturní výroby, </w:t>
      </w:r>
      <w:r>
        <w:t>mocenské pole a společenský prostor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627"/>
        <w:gridCol w:w="2011"/>
      </w:tblGrid>
      <w:tr w:rsidR="0064705E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8A6AD"/>
            <w:vAlign w:val="center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78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SSK+</w:t>
            </w:r>
          </w:p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after="40" w:line="218" w:lineRule="auto"/>
              <w:ind w:firstLine="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 xml:space="preserve"> posvěcená avantgarda</w:t>
            </w:r>
          </w:p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70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podpole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8A6AD"/>
            <w:vAlign w:val="bottom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podpole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8A6AD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before="10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EK+ KK+</w:t>
            </w:r>
          </w:p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 ®</w:t>
            </w:r>
          </w:p>
        </w:tc>
      </w:tr>
      <w:tr w:rsidR="0064705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A8A6AD"/>
            <w:vAlign w:val="center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pole </w:t>
            </w:r>
            <w:proofErr w:type="spellStart"/>
            <w:r>
              <w:rPr>
                <w:b/>
                <w:bCs/>
                <w:sz w:val="16"/>
                <w:szCs w:val="16"/>
              </w:rPr>
              <w:t>kulti</w:t>
            </w:r>
            <w:proofErr w:type="spellEnd"/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A8A6AD"/>
            <w:vAlign w:val="center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rní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výroby</w:t>
            </w:r>
          </w:p>
        </w:tc>
        <w:tc>
          <w:tcPr>
            <w:tcW w:w="2011" w:type="dxa"/>
            <w:tcBorders>
              <w:right w:val="single" w:sz="4" w:space="0" w:color="auto"/>
            </w:tcBorders>
            <w:shd w:val="clear" w:color="auto" w:fill="A8A6AD"/>
            <w:vAlign w:val="center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mocenské pole</w:t>
            </w:r>
          </w:p>
        </w:tc>
      </w:tr>
      <w:tr w:rsidR="0064705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A8A6AD"/>
            <w:vAlign w:val="bottom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mallCaps/>
                <w:sz w:val="15"/>
                <w:szCs w:val="15"/>
              </w:rPr>
              <w:t>; ;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15"/>
                <w:szCs w:val="15"/>
              </w:rPr>
              <w:t>auton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mallCaps/>
                <w:sz w:val="15"/>
                <w:szCs w:val="15"/>
              </w:rPr>
              <w:t>+;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8A6AD"/>
            <w:vAlign w:val="bottom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left="1100" w:firstLine="0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sz w:val="12"/>
                <w:szCs w:val="12"/>
              </w:rPr>
              <w:t>] AUTON-</w:t>
            </w:r>
          </w:p>
        </w:tc>
        <w:tc>
          <w:tcPr>
            <w:tcW w:w="2011" w:type="dxa"/>
            <w:tcBorders>
              <w:right w:val="single" w:sz="4" w:space="0" w:color="auto"/>
            </w:tcBorders>
            <w:shd w:val="clear" w:color="auto" w:fill="A8A6AD"/>
            <w:vAlign w:val="bottom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tabs>
                <w:tab w:val="left" w:pos="1934"/>
              </w:tabs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i</w:t>
            </w:r>
          </w:p>
        </w:tc>
      </w:tr>
      <w:tr w:rsidR="0064705E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A8A6AD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• i </w:t>
            </w:r>
            <w:proofErr w:type="gramStart"/>
            <w:r>
              <w:rPr>
                <w:b/>
                <w:bCs/>
                <w:sz w:val="16"/>
                <w:szCs w:val="16"/>
              </w:rPr>
              <w:t>KK- i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A8A6AD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left="1100" w:firstLine="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 EK+</w:t>
            </w:r>
          </w:p>
        </w:tc>
        <w:tc>
          <w:tcPr>
            <w:tcW w:w="2011" w:type="dxa"/>
            <w:tcBorders>
              <w:right w:val="single" w:sz="4" w:space="0" w:color="auto"/>
            </w:tcBorders>
            <w:shd w:val="clear" w:color="auto" w:fill="A8A6AD"/>
            <w:vAlign w:val="center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64705E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A8A6AD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! i! NHK</w:t>
            </w:r>
            <w:proofErr w:type="gramStart"/>
            <w:r>
              <w:rPr>
                <w:b/>
                <w:bCs/>
                <w:sz w:val="16"/>
                <w:szCs w:val="16"/>
              </w:rPr>
              <w:t>+ ;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A8A6AD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left="1100" w:firstLine="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5"/>
                <w:szCs w:val="1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15"/>
                <w:szCs w:val="15"/>
              </w:rPr>
              <w:t>ssk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15"/>
                <w:szCs w:val="15"/>
              </w:rPr>
              <w:t>-</w:t>
            </w:r>
          </w:p>
        </w:tc>
        <w:tc>
          <w:tcPr>
            <w:tcW w:w="2011" w:type="dxa"/>
            <w:tcBorders>
              <w:right w:val="single" w:sz="4" w:space="0" w:color="auto"/>
            </w:tcBorders>
            <w:shd w:val="clear" w:color="auto" w:fill="A8A6AD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!</w:t>
            </w:r>
          </w:p>
        </w:tc>
      </w:tr>
      <w:tr w:rsidR="0064705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A8A6AD"/>
            <w:vAlign w:val="bottom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44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vymezená výroba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8A6AD"/>
            <w:vAlign w:val="bottom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výroba ve velkém</w:t>
            </w:r>
          </w:p>
        </w:tc>
        <w:tc>
          <w:tcPr>
            <w:tcW w:w="2011" w:type="dxa"/>
            <w:tcBorders>
              <w:right w:val="single" w:sz="4" w:space="0" w:color="auto"/>
            </w:tcBorders>
            <w:shd w:val="clear" w:color="auto" w:fill="A8A6AD"/>
          </w:tcPr>
          <w:p w:rsidR="0064705E" w:rsidRDefault="0064705E">
            <w:pPr>
              <w:framePr w:w="5429" w:h="2952" w:wrap="none" w:vAnchor="page" w:hAnchor="page" w:x="7308" w:y="1161"/>
              <w:rPr>
                <w:sz w:val="10"/>
                <w:szCs w:val="10"/>
              </w:rPr>
            </w:pPr>
          </w:p>
        </w:tc>
      </w:tr>
      <w:tr w:rsidR="0064705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8A6AD"/>
            <w:vAlign w:val="bottom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44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(umění pro umění)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8A6AD"/>
          </w:tcPr>
          <w:p w:rsidR="0064705E" w:rsidRDefault="0064705E">
            <w:pPr>
              <w:framePr w:w="5429" w:h="2952" w:wrap="none" w:vAnchor="page" w:hAnchor="page" w:x="7308" w:y="116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right w:val="single" w:sz="4" w:space="0" w:color="auto"/>
            </w:tcBorders>
            <w:shd w:val="clear" w:color="auto" w:fill="A8A6AD"/>
            <w:vAlign w:val="bottom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kulturní výrobci,</w:t>
            </w:r>
          </w:p>
        </w:tc>
      </w:tr>
      <w:tr w:rsidR="0064705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A8A6AD"/>
            <w:vAlign w:val="bottom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60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avantgarda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A8A6AD"/>
            <w:vAlign w:val="bottom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48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vaudeville,</w:t>
            </w:r>
          </w:p>
        </w:tc>
        <w:tc>
          <w:tcPr>
            <w:tcW w:w="2011" w:type="dxa"/>
            <w:tcBorders>
              <w:right w:val="single" w:sz="4" w:space="0" w:color="auto"/>
            </w:tcBorders>
            <w:shd w:val="clear" w:color="auto" w:fill="A8A6AD"/>
            <w:vAlign w:val="bottom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nespisovatelé</w:t>
            </w:r>
            <w:proofErr w:type="spellEnd"/>
          </w:p>
        </w:tc>
      </w:tr>
      <w:tr w:rsidR="0064705E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A8A6AD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70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bohéma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A8A6AD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román na pokračování,</w:t>
            </w:r>
          </w:p>
        </w:tc>
        <w:tc>
          <w:tcPr>
            <w:tcW w:w="2011" w:type="dxa"/>
            <w:tcBorders>
              <w:right w:val="single" w:sz="4" w:space="0" w:color="auto"/>
            </w:tcBorders>
            <w:shd w:val="clear" w:color="auto" w:fill="A8A6AD"/>
          </w:tcPr>
          <w:p w:rsidR="0064705E" w:rsidRDefault="0064705E">
            <w:pPr>
              <w:framePr w:w="5429" w:h="2952" w:wrap="none" w:vAnchor="page" w:hAnchor="page" w:x="7308" w:y="1161"/>
              <w:rPr>
                <w:sz w:val="10"/>
                <w:szCs w:val="10"/>
              </w:rPr>
            </w:pPr>
          </w:p>
        </w:tc>
      </w:tr>
      <w:tr w:rsidR="0064705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A6AD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78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SSK-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A6AD"/>
          </w:tcPr>
          <w:p w:rsidR="0064705E" w:rsidRDefault="00DF7F2A">
            <w:pPr>
              <w:pStyle w:val="Jin0"/>
              <w:framePr w:w="5429" w:h="2952" w:wrap="none" w:vAnchor="page" w:hAnchor="page" w:x="7308" w:y="1161"/>
              <w:shd w:val="clear" w:color="auto" w:fill="auto"/>
              <w:spacing w:line="240" w:lineRule="auto"/>
              <w:ind w:firstLine="48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novinářství</w:t>
            </w:r>
          </w:p>
        </w:tc>
        <w:tc>
          <w:tcPr>
            <w:tcW w:w="20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A6AD"/>
          </w:tcPr>
          <w:p w:rsidR="0064705E" w:rsidRDefault="0064705E">
            <w:pPr>
              <w:framePr w:w="5429" w:h="2952" w:wrap="none" w:vAnchor="page" w:hAnchor="page" w:x="7308" w:y="1161"/>
              <w:rPr>
                <w:sz w:val="10"/>
                <w:szCs w:val="10"/>
              </w:rPr>
            </w:pPr>
          </w:p>
        </w:tc>
      </w:tr>
    </w:tbl>
    <w:p w:rsidR="0064705E" w:rsidRDefault="00DF7F2A">
      <w:pPr>
        <w:pStyle w:val="Titulektabulky0"/>
        <w:framePr w:w="355" w:h="379" w:hRule="exact" w:wrap="none" w:vAnchor="page" w:hAnchor="page" w:x="12789" w:y="2058"/>
        <w:shd w:val="clear" w:color="auto" w:fill="auto"/>
        <w:rPr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EK+</w:t>
      </w:r>
    </w:p>
    <w:p w:rsidR="0064705E" w:rsidRDefault="00DF7F2A">
      <w:pPr>
        <w:pStyle w:val="Titulektabulky0"/>
        <w:framePr w:w="355" w:h="379" w:hRule="exact" w:wrap="none" w:vAnchor="page" w:hAnchor="page" w:x="12789" w:y="2058"/>
        <w:shd w:val="clear" w:color="auto" w:fill="auto"/>
        <w:spacing w:line="233" w:lineRule="auto"/>
        <w:rPr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KK-</w:t>
      </w:r>
    </w:p>
    <w:p w:rsidR="0064705E" w:rsidRDefault="00DF7F2A">
      <w:pPr>
        <w:pStyle w:val="Titulektabulky0"/>
        <w:framePr w:wrap="none" w:vAnchor="page" w:hAnchor="page" w:x="7298" w:y="4564"/>
        <w:shd w:val="clear" w:color="auto" w:fill="auto"/>
        <w:rPr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I</w:t>
      </w:r>
    </w:p>
    <w:p w:rsidR="0064705E" w:rsidRDefault="00DF7F2A">
      <w:pPr>
        <w:framePr w:wrap="none" w:vAnchor="page" w:hAnchor="page" w:x="9141" w:y="459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109345" cy="1282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0934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05E" w:rsidRDefault="00DF7F2A">
      <w:pPr>
        <w:pStyle w:val="Zkladntext20"/>
        <w:framePr w:w="5477" w:h="211" w:hRule="exact" w:wrap="none" w:vAnchor="page" w:hAnchor="page" w:x="7308" w:y="5701"/>
        <w:shd w:val="clear" w:color="auto" w:fill="auto"/>
        <w:spacing w:after="0" w:line="240" w:lineRule="auto"/>
        <w:ind w:left="3144" w:right="1640" w:firstLine="0"/>
        <w:jc w:val="right"/>
      </w:pPr>
      <w:proofErr w:type="gramStart"/>
      <w:r>
        <w:t>EK- KK</w:t>
      </w:r>
      <w:proofErr w:type="gramEnd"/>
      <w:r>
        <w:t>-</w:t>
      </w:r>
    </w:p>
    <w:p w:rsidR="0064705E" w:rsidRDefault="00DF7F2A">
      <w:pPr>
        <w:pStyle w:val="Jin0"/>
        <w:framePr w:wrap="none" w:vAnchor="page" w:hAnchor="page" w:x="10673" w:y="5745"/>
        <w:shd w:val="clear" w:color="auto" w:fill="auto"/>
        <w:spacing w:line="240" w:lineRule="auto"/>
        <w:ind w:left="9" w:right="14" w:firstLine="0"/>
        <w:jc w:val="both"/>
        <w:rPr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e</w:t>
      </w:r>
    </w:p>
    <w:p w:rsidR="0064705E" w:rsidRDefault="00DF7F2A">
      <w:pPr>
        <w:pStyle w:val="Zkladntext20"/>
        <w:framePr w:w="2050" w:h="941" w:hRule="exact" w:wrap="none" w:vAnchor="page" w:hAnchor="page" w:x="7313" w:y="6297"/>
        <w:shd w:val="clear" w:color="auto" w:fill="auto"/>
        <w:spacing w:after="40" w:line="233" w:lineRule="auto"/>
        <w:ind w:left="9" w:firstLine="0"/>
      </w:pPr>
      <w:proofErr w:type="spellStart"/>
      <w:r>
        <w:t>Vynvótlivky</w:t>
      </w:r>
      <w:proofErr w:type="spellEnd"/>
    </w:p>
    <w:p w:rsidR="0064705E" w:rsidRDefault="00DF7F2A">
      <w:pPr>
        <w:pStyle w:val="Zkladntext20"/>
        <w:framePr w:w="2050" w:h="941" w:hRule="exact" w:wrap="none" w:vAnchor="page" w:hAnchor="page" w:x="7313" w:y="6297"/>
        <w:shd w:val="clear" w:color="auto" w:fill="auto"/>
        <w:spacing w:after="0" w:line="233" w:lineRule="auto"/>
        <w:ind w:left="389" w:hanging="380"/>
      </w:pPr>
      <w:r>
        <w:t xml:space="preserve">i**- </w:t>
      </w:r>
      <w:proofErr w:type="spellStart"/>
      <w:r>
        <w:t>Hpolečenský</w:t>
      </w:r>
      <w:proofErr w:type="spellEnd"/>
      <w:r>
        <w:t xml:space="preserve"> prostor</w:t>
      </w:r>
      <w:r>
        <w:br/>
        <w:t>mocenské pole</w:t>
      </w:r>
      <w:r>
        <w:br/>
      </w:r>
      <w:proofErr w:type="spellStart"/>
      <w:r>
        <w:t>pole</w:t>
      </w:r>
      <w:proofErr w:type="spellEnd"/>
      <w:r>
        <w:t xml:space="preserve"> kulturní výroby</w:t>
      </w:r>
      <w:r>
        <w:br/>
      </w:r>
      <w:proofErr w:type="spellStart"/>
      <w:r>
        <w:t>podpole</w:t>
      </w:r>
      <w:proofErr w:type="spellEnd"/>
      <w:r>
        <w:t xml:space="preserve"> vymezené výroby</w:t>
      </w:r>
    </w:p>
    <w:p w:rsidR="0064705E" w:rsidRDefault="00DF7F2A">
      <w:pPr>
        <w:pStyle w:val="Zkladntext20"/>
        <w:framePr w:w="5477" w:h="883" w:hRule="exact" w:wrap="none" w:vAnchor="page" w:hAnchor="page" w:x="7308" w:y="6508"/>
        <w:shd w:val="clear" w:color="auto" w:fill="auto"/>
        <w:spacing w:after="0" w:line="233" w:lineRule="auto"/>
        <w:ind w:left="2885" w:right="660" w:firstLine="0"/>
        <w:jc w:val="right"/>
      </w:pPr>
      <w:proofErr w:type="spellStart"/>
      <w:r>
        <w:rPr>
          <w:smallCaps/>
        </w:rPr>
        <w:t>ek</w:t>
      </w:r>
      <w:proofErr w:type="spellEnd"/>
      <w:r>
        <w:t xml:space="preserve"> ekonomický kapitál</w:t>
      </w:r>
    </w:p>
    <w:p w:rsidR="0064705E" w:rsidRDefault="00DF7F2A">
      <w:pPr>
        <w:pStyle w:val="Zkladntext20"/>
        <w:framePr w:w="5477" w:h="883" w:hRule="exact" w:wrap="none" w:vAnchor="page" w:hAnchor="page" w:x="7308" w:y="6508"/>
        <w:shd w:val="clear" w:color="auto" w:fill="auto"/>
        <w:spacing w:after="0" w:line="233" w:lineRule="auto"/>
        <w:ind w:left="2885" w:right="34" w:firstLine="260"/>
      </w:pPr>
      <w:proofErr w:type="spellStart"/>
      <w:r>
        <w:rPr>
          <w:smallCaps/>
        </w:rPr>
        <w:t>kk</w:t>
      </w:r>
      <w:proofErr w:type="spellEnd"/>
      <w:r>
        <w:t xml:space="preserve"> kulturní kapitál</w:t>
      </w:r>
      <w:r>
        <w:br/>
      </w:r>
      <w:proofErr w:type="spellStart"/>
      <w:r>
        <w:rPr>
          <w:smallCaps/>
        </w:rPr>
        <w:t>ssk</w:t>
      </w:r>
      <w:proofErr w:type="spellEnd"/>
      <w:r>
        <w:t xml:space="preserve"> specifický symbolický kapitál</w:t>
      </w:r>
      <w:r>
        <w:br/>
      </w:r>
      <w:proofErr w:type="spellStart"/>
      <w:r>
        <w:rPr>
          <w:smallCaps/>
        </w:rPr>
        <w:t>auton</w:t>
      </w:r>
      <w:proofErr w:type="spellEnd"/>
      <w:r>
        <w:rPr>
          <w:smallCaps/>
        </w:rPr>
        <w:t>+</w:t>
      </w:r>
      <w:r>
        <w:t xml:space="preserve"> vysoký stupeň autonomie</w:t>
      </w:r>
      <w:r>
        <w:br/>
      </w:r>
      <w:proofErr w:type="spellStart"/>
      <w:proofErr w:type="gramStart"/>
      <w:r>
        <w:rPr>
          <w:smallCaps/>
        </w:rPr>
        <w:t>auton</w:t>
      </w:r>
      <w:proofErr w:type="spellEnd"/>
      <w:r>
        <w:rPr>
          <w:smallCaps/>
        </w:rPr>
        <w:t>-</w:t>
      </w:r>
      <w:r>
        <w:t xml:space="preserve"> nízký</w:t>
      </w:r>
      <w:proofErr w:type="gramEnd"/>
      <w:r>
        <w:t xml:space="preserve"> stupeň autonomie</w:t>
      </w:r>
    </w:p>
    <w:p w:rsidR="0064705E" w:rsidRDefault="00DF7F2A" w:rsidP="00952589">
      <w:pPr>
        <w:pStyle w:val="Zkladntext1"/>
        <w:framePr w:w="5477" w:h="2765" w:hRule="exact" w:wrap="none" w:vAnchor="page" w:hAnchor="page" w:x="7291" w:y="7756"/>
        <w:shd w:val="clear" w:color="auto" w:fill="auto"/>
        <w:spacing w:line="262" w:lineRule="auto"/>
        <w:ind w:firstLine="0"/>
        <w:jc w:val="both"/>
      </w:pPr>
      <w:bookmarkStart w:id="0" w:name="_Hlk19200924"/>
      <w:r>
        <w:t xml:space="preserve">někteří označují. „Básnický kongres“, svolaný na 27. květen 11101 do Paříže na </w:t>
      </w:r>
      <w:proofErr w:type="spellStart"/>
      <w:r>
        <w:t>École</w:t>
      </w:r>
      <w:proofErr w:type="spellEnd"/>
      <w:r>
        <w:t xml:space="preserve"> des </w:t>
      </w:r>
      <w:proofErr w:type="spellStart"/>
      <w:r>
        <w:t>hautes</w:t>
      </w:r>
      <w:proofErr w:type="spellEnd"/>
      <w:r>
        <w:t xml:space="preserve"> </w:t>
      </w:r>
      <w:proofErr w:type="spellStart"/>
      <w:r>
        <w:t>études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, měl </w:t>
      </w:r>
      <w:r>
        <w:t xml:space="preserve">sice podpořit kolegiátní bratření, avšak skončil rámusením a </w:t>
      </w:r>
      <w:proofErr w:type="gramStart"/>
      <w:r>
        <w:t xml:space="preserve">str- </w:t>
      </w:r>
      <w:proofErr w:type="spellStart"/>
      <w:r>
        <w:t>knnicemi</w:t>
      </w:r>
      <w:proofErr w:type="spellEnd"/>
      <w:proofErr w:type="gramEnd"/>
      <w:r>
        <w:t>. Dochází k rozkolům a řetězovému štěpení, množí ne básnické školy: v roce 1901 vzniká syntetismus Jeana &lt;</w:t>
      </w:r>
      <w:proofErr w:type="spellStart"/>
      <w:r>
        <w:t>li</w:t>
      </w:r>
      <w:proofErr w:type="spellEnd"/>
      <w:r>
        <w:t xml:space="preserve">’ la </w:t>
      </w:r>
      <w:proofErr w:type="spellStart"/>
      <w:r>
        <w:t>Hire</w:t>
      </w:r>
      <w:proofErr w:type="spellEnd"/>
      <w:r>
        <w:t xml:space="preserve"> a </w:t>
      </w:r>
      <w:proofErr w:type="spellStart"/>
      <w:r>
        <w:t>integralismus</w:t>
      </w:r>
      <w:proofErr w:type="spellEnd"/>
      <w:r>
        <w:t xml:space="preserve"> </w:t>
      </w:r>
      <w:proofErr w:type="spellStart"/>
      <w:r>
        <w:t>Adolpha</w:t>
      </w:r>
      <w:proofErr w:type="spellEnd"/>
      <w:r>
        <w:t xml:space="preserve"> </w:t>
      </w:r>
      <w:proofErr w:type="spellStart"/>
      <w:r>
        <w:t>Lacuzona</w:t>
      </w:r>
      <w:proofErr w:type="spellEnd"/>
      <w:r>
        <w:t xml:space="preserve">, roku 1904 </w:t>
      </w:r>
      <w:proofErr w:type="spellStart"/>
      <w:r>
        <w:t>Impulsionismus</w:t>
      </w:r>
      <w:proofErr w:type="spellEnd"/>
      <w:r>
        <w:t xml:space="preserve"> Flori</w:t>
      </w:r>
      <w:r>
        <w:t xml:space="preserve">ana </w:t>
      </w:r>
      <w:proofErr w:type="spellStart"/>
      <w:r>
        <w:t>Parmentiera</w:t>
      </w:r>
      <w:proofErr w:type="spellEnd"/>
      <w:r>
        <w:t xml:space="preserve">, v roce 1906 </w:t>
      </w:r>
      <w:proofErr w:type="spellStart"/>
      <w:proofErr w:type="gramStart"/>
      <w:r>
        <w:t>aristo</w:t>
      </w:r>
      <w:proofErr w:type="spellEnd"/>
      <w:r>
        <w:t>- In</w:t>
      </w:r>
      <w:proofErr w:type="gramEnd"/>
      <w:r>
        <w:t xml:space="preserve"> </w:t>
      </w:r>
      <w:proofErr w:type="spellStart"/>
      <w:r>
        <w:t>ntismus</w:t>
      </w:r>
      <w:proofErr w:type="spellEnd"/>
      <w:r>
        <w:t xml:space="preserve"> </w:t>
      </w:r>
      <w:proofErr w:type="spellStart"/>
      <w:r>
        <w:t>Lacaze-Duthierse</w:t>
      </w:r>
      <w:proofErr w:type="spellEnd"/>
      <w:r>
        <w:t xml:space="preserve">, 1909 unanimismus </w:t>
      </w:r>
      <w:proofErr w:type="spellStart"/>
      <w:r>
        <w:t>Julese</w:t>
      </w:r>
      <w:proofErr w:type="spellEnd"/>
      <w:r>
        <w:t xml:space="preserve"> Ro- </w:t>
      </w:r>
      <w:proofErr w:type="spellStart"/>
      <w:r>
        <w:t>iiminse</w:t>
      </w:r>
      <w:proofErr w:type="spellEnd"/>
      <w:r>
        <w:t xml:space="preserve">, </w:t>
      </w:r>
      <w:proofErr w:type="spellStart"/>
      <w:r>
        <w:t>sincerismus</w:t>
      </w:r>
      <w:proofErr w:type="spellEnd"/>
      <w:r>
        <w:t xml:space="preserve"> Louise </w:t>
      </w:r>
      <w:proofErr w:type="spellStart"/>
      <w:r>
        <w:t>Nazze</w:t>
      </w:r>
      <w:proofErr w:type="spellEnd"/>
      <w:r>
        <w:t xml:space="preserve">, subjektivismus Hana </w:t>
      </w:r>
      <w:proofErr w:type="spellStart"/>
      <w:r>
        <w:t>Kvnera</w:t>
      </w:r>
      <w:proofErr w:type="spellEnd"/>
      <w:r>
        <w:t xml:space="preserve">, druidismus Maxe Jacoba a </w:t>
      </w:r>
      <w:proofErr w:type="spellStart"/>
      <w:r>
        <w:t>Marinettiho</w:t>
      </w:r>
      <w:proofErr w:type="spellEnd"/>
      <w:r>
        <w:t xml:space="preserve"> futurismus, 11)10 </w:t>
      </w:r>
      <w:proofErr w:type="spellStart"/>
      <w:r>
        <w:t>intensismus</w:t>
      </w:r>
      <w:proofErr w:type="spellEnd"/>
      <w:r>
        <w:t xml:space="preserve"> Charlese de Saint-</w:t>
      </w:r>
      <w:proofErr w:type="spellStart"/>
      <w:r>
        <w:t>Cyr</w:t>
      </w:r>
      <w:proofErr w:type="spellEnd"/>
      <w:r>
        <w:t xml:space="preserve">, 1911 </w:t>
      </w:r>
      <w:proofErr w:type="spellStart"/>
      <w:r>
        <w:t>flor</w:t>
      </w:r>
      <w:r>
        <w:t>alismus</w:t>
      </w:r>
      <w:proofErr w:type="spellEnd"/>
    </w:p>
    <w:bookmarkEnd w:id="0"/>
    <w:p w:rsidR="0064705E" w:rsidRDefault="0064705E">
      <w:pPr>
        <w:spacing w:line="1" w:lineRule="exact"/>
        <w:sectPr w:rsidR="0064705E">
          <w:pgSz w:w="13512" w:h="11237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05E" w:rsidRDefault="00DF7F2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4377690</wp:posOffset>
                </wp:positionH>
                <wp:positionV relativeFrom="page">
                  <wp:posOffset>2807335</wp:posOffset>
                </wp:positionV>
                <wp:extent cx="0" cy="428244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2440"/>
                        </a:xfrm>
                        <a:prstGeom prst="straightConnector1">
                          <a:avLst/>
                        </a:prstGeom>
                        <a:ln w="825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44.69999999999999pt;margin-top:221.05000000000001pt;width:0;height:337.19999999999999pt;z-index:-251658240;mso-position-horizontal-relative:page;mso-position-vertical-relative:page">
                <v:stroke weight="6.5pt"/>
              </v:shape>
            </w:pict>
          </mc:Fallback>
        </mc:AlternateContent>
      </w:r>
    </w:p>
    <w:p w:rsidR="0064705E" w:rsidRDefault="00DF7F2A">
      <w:pPr>
        <w:pStyle w:val="Zhlavnebozpat0"/>
        <w:framePr w:wrap="none" w:vAnchor="page" w:hAnchor="page" w:x="933" w:y="313"/>
        <w:shd w:val="clear" w:color="auto" w:fill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[170]</w:t>
      </w:r>
    </w:p>
    <w:p w:rsidR="0064705E" w:rsidRDefault="00DF7F2A">
      <w:pPr>
        <w:pStyle w:val="Zhlavnebozpat0"/>
        <w:framePr w:wrap="none" w:vAnchor="page" w:hAnchor="page" w:x="12559" w:y="409"/>
        <w:shd w:val="clear" w:color="auto" w:fill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[171]</w:t>
      </w:r>
    </w:p>
    <w:p w:rsidR="0064705E" w:rsidRDefault="00DF7F2A">
      <w:pPr>
        <w:pStyle w:val="Zkladntext1"/>
        <w:framePr w:w="5558" w:h="8890" w:hRule="exact" w:wrap="none" w:vAnchor="page" w:hAnchor="page" w:x="847" w:y="783"/>
        <w:shd w:val="clear" w:color="auto" w:fill="auto"/>
        <w:ind w:firstLine="0"/>
        <w:jc w:val="both"/>
      </w:pPr>
      <w:bookmarkStart w:id="1" w:name="_Hlk19200947"/>
      <w:bookmarkStart w:id="2" w:name="_GoBack"/>
      <w:r>
        <w:t xml:space="preserve">Luciena </w:t>
      </w:r>
      <w:proofErr w:type="spellStart"/>
      <w:r>
        <w:t>Rolmera</w:t>
      </w:r>
      <w:proofErr w:type="spellEnd"/>
      <w:r>
        <w:t>, 1912 simultaneismus Henriho-</w:t>
      </w:r>
      <w:proofErr w:type="spellStart"/>
      <w:r>
        <w:t>Martinn</w:t>
      </w:r>
      <w:proofErr w:type="spellEnd"/>
      <w:r>
        <w:t xml:space="preserve"> </w:t>
      </w:r>
      <w:proofErr w:type="spellStart"/>
      <w:r>
        <w:t>Barzuna</w:t>
      </w:r>
      <w:proofErr w:type="spellEnd"/>
      <w:r>
        <w:t xml:space="preserve"> a Fernanda </w:t>
      </w:r>
      <w:proofErr w:type="spellStart"/>
      <w:r>
        <w:t>Divoira</w:t>
      </w:r>
      <w:proofErr w:type="spellEnd"/>
      <w:r>
        <w:t xml:space="preserve">, 1913 dynamismus Henriho </w:t>
      </w:r>
      <w:proofErr w:type="spellStart"/>
      <w:r>
        <w:t>Guilbeauxe</w:t>
      </w:r>
      <w:proofErr w:type="spellEnd"/>
      <w:r>
        <w:t xml:space="preserve"> a nato </w:t>
      </w:r>
      <w:proofErr w:type="spellStart"/>
      <w:r>
        <w:t>efreneismus</w:t>
      </w:r>
      <w:proofErr w:type="spellEnd"/>
      <w:r>
        <w:t>, totalismus atd.</w:t>
      </w:r>
      <w:r>
        <w:rPr>
          <w:vertAlign w:val="superscript"/>
        </w:rPr>
        <w:t>11</w:t>
      </w:r>
      <w:r>
        <w:t>) Někteří so k této logice permanentní revoluce hlásí, u</w:t>
      </w:r>
      <w:r>
        <w:t xml:space="preserve">vědomují si, že so stala zákonem chodu literárního pole, a protože netrpělivé touží po nástupnictví, bez váhání vyhlašují, že </w:t>
      </w:r>
      <w:proofErr w:type="spellStart"/>
      <w:r>
        <w:t>pětadvacel</w:t>
      </w:r>
      <w:proofErr w:type="spellEnd"/>
      <w:r>
        <w:t xml:space="preserve"> let je pro přežití jedné literární generace až příliš dlouhá doba.</w:t>
      </w:r>
      <w:r>
        <w:rPr>
          <w:vertAlign w:val="superscript"/>
        </w:rPr>
        <w:t>12</w:t>
      </w:r>
      <w:r>
        <w:t xml:space="preserve">) Sektářské běsnění připomíná </w:t>
      </w:r>
      <w:r>
        <w:t xml:space="preserve">avantgardní skupinky v politice. Důsledkem jsou rozkoly vyvolávané samozvanými vůdci: z dekadence se rodí symbolismus a z něho </w:t>
      </w:r>
      <w:proofErr w:type="spellStart"/>
      <w:r>
        <w:t>magniíicis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, magismus, socialismus, anarchismus a románská </w:t>
      </w:r>
      <w:proofErr w:type="spellStart"/>
      <w:r>
        <w:t>ško</w:t>
      </w:r>
      <w:proofErr w:type="spellEnd"/>
      <w:r>
        <w:t xml:space="preserve"> la. Jen zřídkakdy se některé hnutí prosadí. Většina vůdců ostat</w:t>
      </w:r>
      <w:r>
        <w:t xml:space="preserve">ně rychle upadá v zapomnění, neboť nemají </w:t>
      </w:r>
      <w:proofErr w:type="spellStart"/>
      <w:r>
        <w:t>následov</w:t>
      </w:r>
      <w:proofErr w:type="spellEnd"/>
      <w:r>
        <w:t xml:space="preserve"> niky. Onen prvopočáteční rozchod avantgardy s tradicí se opakuje a vede k dalším, novým rozchodům.</w:t>
      </w:r>
      <w:bookmarkEnd w:id="1"/>
      <w:bookmarkEnd w:id="2"/>
    </w:p>
    <w:p w:rsidR="0064705E" w:rsidRDefault="00DF7F2A">
      <w:pPr>
        <w:pStyle w:val="Zkladntext1"/>
        <w:framePr w:w="5558" w:h="8890" w:hRule="exact" w:wrap="none" w:vAnchor="page" w:hAnchor="page" w:x="847" w:y="783"/>
        <w:shd w:val="clear" w:color="auto" w:fill="auto"/>
        <w:jc w:val="both"/>
      </w:pPr>
      <w:r>
        <w:t>V románě naturalistická revoluce po čase vyvolává re</w:t>
      </w:r>
      <w:r>
        <w:softHyphen/>
        <w:t xml:space="preserve">akci „psychologů“. V dramatu, jak jsme viděli, vznik </w:t>
      </w:r>
      <w:proofErr w:type="spellStart"/>
      <w:r>
        <w:t>Antoi</w:t>
      </w:r>
      <w:proofErr w:type="spellEnd"/>
      <w:r>
        <w:t xml:space="preserve"> nova </w:t>
      </w:r>
      <w:proofErr w:type="spellStart"/>
      <w:r>
        <w:t>Théátre-Libre</w:t>
      </w:r>
      <w:proofErr w:type="spellEnd"/>
      <w:r>
        <w:t xml:space="preserve"> takřka vzápětí podněcuje </w:t>
      </w:r>
      <w:proofErr w:type="spellStart"/>
      <w:r>
        <w:t>Lugné-Poeu</w:t>
      </w:r>
      <w:proofErr w:type="spellEnd"/>
      <w:r>
        <w:t xml:space="preserve"> k vytvoření </w:t>
      </w:r>
      <w:proofErr w:type="spellStart"/>
      <w:r>
        <w:t>Théátre</w:t>
      </w:r>
      <w:proofErr w:type="spellEnd"/>
      <w:r>
        <w:t xml:space="preserve"> de 1’CEuvre. Oba tak otevřeli prostor protikladu mezi naturalismem a symbolismem. Hranice </w:t>
      </w:r>
      <w:proofErr w:type="spellStart"/>
      <w:r>
        <w:t>li</w:t>
      </w:r>
      <w:proofErr w:type="spellEnd"/>
      <w:r>
        <w:t xml:space="preserve"> </w:t>
      </w:r>
      <w:proofErr w:type="spellStart"/>
      <w:r>
        <w:t>terárních</w:t>
      </w:r>
      <w:proofErr w:type="spellEnd"/>
      <w:r>
        <w:t xml:space="preserve"> druhů a žánrů se stírají: </w:t>
      </w:r>
      <w:proofErr w:type="spellStart"/>
      <w:r>
        <w:t>Huysmansovou</w:t>
      </w:r>
      <w:proofErr w:type="spellEnd"/>
      <w:r>
        <w:t xml:space="preserve"> a Mac </w:t>
      </w:r>
      <w:proofErr w:type="spellStart"/>
      <w:r>
        <w:t>terlinckovou</w:t>
      </w:r>
      <w:proofErr w:type="spellEnd"/>
      <w:r>
        <w:t xml:space="preserve"> zásluhou poezi</w:t>
      </w:r>
      <w:r>
        <w:t xml:space="preserve">e prosazuje svůj vliv v </w:t>
      </w:r>
      <w:proofErr w:type="gramStart"/>
      <w:r>
        <w:t>románe</w:t>
      </w:r>
      <w:proofErr w:type="gramEnd"/>
      <w:r>
        <w:t xml:space="preserve"> a v divadle. Každá z úspěšných revolucí opravňuje nejen sebe samu, ale i revoluci jako takovou, i kdyby to byla révo luče namířená proti estetickým formám, jež sama ustavila Jednání a manifesty všech, kdo počínaje dvacátým st</w:t>
      </w:r>
      <w:r>
        <w:t xml:space="preserve">ole tím usilují o prosazení nového uměleckého řádu některým z </w:t>
      </w:r>
      <w:r>
        <w:rPr>
          <w:i/>
          <w:iCs/>
        </w:rPr>
        <w:t>ismů,</w:t>
      </w:r>
      <w:r>
        <w:t xml:space="preserve"> jen dokazují, že revoluce se postupně stává </w:t>
      </w:r>
      <w:r>
        <w:rPr>
          <w:i/>
          <w:iCs/>
        </w:rPr>
        <w:t xml:space="preserve">vzorcem </w:t>
      </w:r>
      <w:r>
        <w:t>postupu majícího zajistit průnik do literárního pole.</w:t>
      </w:r>
    </w:p>
    <w:p w:rsidR="0064705E" w:rsidRDefault="00DF7F2A">
      <w:pPr>
        <w:pStyle w:val="Zkladntext1"/>
        <w:framePr w:w="5558" w:h="8890" w:hRule="exact" w:wrap="none" w:vAnchor="page" w:hAnchor="page" w:x="847" w:y="783"/>
        <w:shd w:val="clear" w:color="auto" w:fill="auto"/>
        <w:jc w:val="both"/>
      </w:pPr>
      <w:r>
        <w:t xml:space="preserve">Exemplární je případ takzvané „krize naturalismu“. Není to nic jiného než několik </w:t>
      </w:r>
      <w:r>
        <w:t xml:space="preserve">symbolických strategií, jež s jistým úspěchem rozvinula skupina spisovatelů a kritiků, z části </w:t>
      </w:r>
      <w:proofErr w:type="spellStart"/>
      <w:r>
        <w:t>pti</w:t>
      </w:r>
      <w:proofErr w:type="spellEnd"/>
      <w:r>
        <w:t xml:space="preserve"> vodně spojených s naturalismem. K nástupnictví se hlásí </w:t>
      </w:r>
      <w:proofErr w:type="spellStart"/>
      <w:r>
        <w:t>jn</w:t>
      </w:r>
      <w:proofErr w:type="spellEnd"/>
      <w:r>
        <w:t xml:space="preserve"> kýmsi symbolickým převratem: kromě již zmíněných pěti au torů manifestu z 18. srpna 1887 (viz výše</w:t>
      </w:r>
      <w:r>
        <w:t xml:space="preserve"> s. 162) je to článek Ferdinanda </w:t>
      </w:r>
      <w:proofErr w:type="spellStart"/>
      <w:r>
        <w:t>Brunetiěra</w:t>
      </w:r>
      <w:proofErr w:type="spellEnd"/>
      <w:r>
        <w:t xml:space="preserve"> z 1. září 1887 o krachu naturalismu</w:t>
      </w:r>
    </w:p>
    <w:p w:rsidR="0064705E" w:rsidRDefault="00DF7F2A">
      <w:pPr>
        <w:pStyle w:val="Poznmkapodarou0"/>
        <w:framePr w:w="5558" w:h="379" w:hRule="exact" w:wrap="none" w:vAnchor="page" w:hAnchor="page" w:x="847" w:y="9894"/>
        <w:shd w:val="clear" w:color="auto" w:fill="auto"/>
        <w:tabs>
          <w:tab w:val="left" w:pos="269"/>
        </w:tabs>
        <w:ind w:hanging="280"/>
      </w:pPr>
      <w:r>
        <w:rPr>
          <w:i w:val="0"/>
          <w:iCs w:val="0"/>
        </w:rPr>
        <w:t>11)</w:t>
      </w:r>
      <w:r>
        <w:rPr>
          <w:i w:val="0"/>
          <w:iCs w:val="0"/>
        </w:rPr>
        <w:tab/>
        <w:t>Florian-</w:t>
      </w:r>
      <w:proofErr w:type="spellStart"/>
      <w:r>
        <w:rPr>
          <w:i w:val="0"/>
          <w:iCs w:val="0"/>
        </w:rPr>
        <w:t>Parmentier</w:t>
      </w:r>
      <w:proofErr w:type="spellEnd"/>
      <w:r>
        <w:rPr>
          <w:i w:val="0"/>
          <w:iCs w:val="0"/>
        </w:rPr>
        <w:t xml:space="preserve">: </w:t>
      </w:r>
      <w:r>
        <w:t xml:space="preserve">La </w:t>
      </w:r>
      <w:proofErr w:type="spellStart"/>
      <w:r>
        <w:t>Littérature</w:t>
      </w:r>
      <w:proofErr w:type="spellEnd"/>
      <w:r>
        <w:t xml:space="preserve"> et l </w:t>
      </w:r>
      <w:proofErr w:type="spellStart"/>
      <w:r>
        <w:t>Époque</w:t>
      </w:r>
      <w:proofErr w:type="spellEnd"/>
      <w:r>
        <w:t xml:space="preserve">. </w:t>
      </w:r>
      <w:proofErr w:type="spellStart"/>
      <w:r>
        <w:t>Histoire</w:t>
      </w:r>
      <w:proofErr w:type="spellEnd"/>
      <w:r>
        <w:t xml:space="preserve"> de la </w:t>
      </w:r>
      <w:proofErr w:type="spellStart"/>
      <w:r>
        <w:t>littératurefranciu</w:t>
      </w:r>
      <w:proofErr w:type="spellEnd"/>
      <w:r>
        <w:t xml:space="preserve"> \&gt; de 1885 á nos </w:t>
      </w:r>
      <w:proofErr w:type="spellStart"/>
      <w:r>
        <w:t>jours</w:t>
      </w:r>
      <w:proofErr w:type="spellEnd"/>
      <w:r>
        <w:rPr>
          <w:i w:val="0"/>
          <w:iCs w:val="0"/>
        </w:rPr>
        <w:t xml:space="preserve"> (Paris: </w:t>
      </w:r>
      <w:proofErr w:type="spellStart"/>
      <w:r>
        <w:rPr>
          <w:i w:val="0"/>
          <w:iCs w:val="0"/>
        </w:rPr>
        <w:t>Eugéne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Figuiěre</w:t>
      </w:r>
      <w:proofErr w:type="spellEnd"/>
      <w:r>
        <w:rPr>
          <w:i w:val="0"/>
          <w:iCs w:val="0"/>
        </w:rPr>
        <w:t>, 1914), s. 292-293.</w:t>
      </w:r>
    </w:p>
    <w:p w:rsidR="0064705E" w:rsidRDefault="00DF7F2A">
      <w:pPr>
        <w:pStyle w:val="Poznmkapodarou0"/>
        <w:framePr w:w="5558" w:h="178" w:hRule="exact" w:wrap="none" w:vAnchor="page" w:hAnchor="page" w:x="847" w:y="10292"/>
        <w:shd w:val="clear" w:color="auto" w:fill="auto"/>
        <w:tabs>
          <w:tab w:val="left" w:pos="274"/>
        </w:tabs>
        <w:ind w:left="0" w:firstLine="0"/>
      </w:pPr>
      <w:r>
        <w:rPr>
          <w:i w:val="0"/>
          <w:iCs w:val="0"/>
        </w:rPr>
        <w:t>12)</w:t>
      </w:r>
      <w:r>
        <w:rPr>
          <w:i w:val="0"/>
          <w:iCs w:val="0"/>
        </w:rPr>
        <w:tab/>
      </w:r>
      <w:r>
        <w:t>Tamtéž.</w:t>
      </w:r>
    </w:p>
    <w:p w:rsidR="0064705E" w:rsidRDefault="00DF7F2A">
      <w:pPr>
        <w:pStyle w:val="Zkladntext1"/>
        <w:framePr w:w="5520" w:h="9720" w:hRule="exact" w:wrap="none" w:vAnchor="page" w:hAnchor="page" w:x="7476" w:y="836"/>
        <w:shd w:val="clear" w:color="auto" w:fill="auto"/>
        <w:spacing w:after="380"/>
        <w:ind w:firstLine="0"/>
        <w:jc w:val="both"/>
      </w:pPr>
      <w:r>
        <w:t xml:space="preserve">dále předmluva Paula </w:t>
      </w:r>
      <w:proofErr w:type="spellStart"/>
      <w:r>
        <w:t>Bourgeta</w:t>
      </w:r>
      <w:proofErr w:type="spellEnd"/>
      <w:r>
        <w:t xml:space="preserve"> k románu </w:t>
      </w:r>
      <w:r>
        <w:rPr>
          <w:i/>
          <w:iCs/>
        </w:rPr>
        <w:t>Žák</w:t>
      </w:r>
      <w:r>
        <w:t xml:space="preserve"> (1889), kde </w:t>
      </w:r>
      <w:proofErr w:type="spellStart"/>
      <w:r>
        <w:t>Miitor</w:t>
      </w:r>
      <w:proofErr w:type="spellEnd"/>
      <w:r>
        <w:t xml:space="preserve"> útočí proti nadvládě naturalismu, a nakonec známá anketa </w:t>
      </w:r>
      <w:proofErr w:type="spellStart"/>
      <w:r>
        <w:t>Julese</w:t>
      </w:r>
      <w:proofErr w:type="spellEnd"/>
      <w:r>
        <w:t xml:space="preserve"> </w:t>
      </w:r>
      <w:proofErr w:type="spellStart"/>
      <w:r>
        <w:t>Hureta</w:t>
      </w:r>
      <w:proofErr w:type="spellEnd"/>
      <w:r>
        <w:t xml:space="preserve"> — první případ performativních do</w:t>
      </w:r>
      <w:r>
        <w:softHyphen/>
        <w:t>tazníků, napříště dosti běžných, kde otázky samy navozují účinek, který chtějí údajně zji</w:t>
      </w:r>
      <w:r>
        <w:t>stit. Všem, kdo se chtějí prosa</w:t>
      </w:r>
      <w:r>
        <w:softHyphen/>
        <w:t xml:space="preserve">dit, kupříkladu </w:t>
      </w:r>
      <w:proofErr w:type="spellStart"/>
      <w:r>
        <w:t>Huysmansovi</w:t>
      </w:r>
      <w:proofErr w:type="spellEnd"/>
      <w:r>
        <w:t>, je v anketě dán prostor, aby udělili, že „naturalismus je odbytá věc“.</w:t>
      </w:r>
      <w:r>
        <w:rPr>
          <w:vertAlign w:val="superscript"/>
        </w:rPr>
        <w:t>13</w:t>
      </w:r>
      <w:r>
        <w:t>) Vytváří se tak jis</w:t>
      </w:r>
      <w:r>
        <w:softHyphen/>
        <w:t xml:space="preserve">ti' myšlenkové </w:t>
      </w:r>
      <w:proofErr w:type="gramStart"/>
      <w:r>
        <w:t>schéma</w:t>
      </w:r>
      <w:proofErr w:type="gramEnd"/>
      <w:r>
        <w:t xml:space="preserve"> a to se šíří mezi spisovateli, novináři ti u části čtenářstva, jež si zakládá na</w:t>
      </w:r>
      <w:r>
        <w:t xml:space="preserve"> své kulturní úrovni. Vzniká představa, že literární život a obecněji veškerý život Intelektuální podléhá zákonu módy a že lze odsoudit to či ono </w:t>
      </w:r>
      <w:proofErr w:type="spellStart"/>
      <w:r>
        <w:t>liněřování</w:t>
      </w:r>
      <w:proofErr w:type="spellEnd"/>
      <w:r>
        <w:t>, proud nebo školu poukazem, že jsou „překonané“.</w:t>
      </w:r>
    </w:p>
    <w:p w:rsidR="0064705E" w:rsidRDefault="00DF7F2A">
      <w:pPr>
        <w:pStyle w:val="Zkladntext1"/>
        <w:framePr w:w="5520" w:h="9720" w:hRule="exact" w:wrap="none" w:vAnchor="page" w:hAnchor="page" w:x="7476" w:y="836"/>
        <w:shd w:val="clear" w:color="auto" w:fill="auto"/>
        <w:spacing w:after="120" w:line="276" w:lineRule="auto"/>
        <w:ind w:left="1820" w:firstLine="0"/>
        <w:rPr>
          <w:sz w:val="18"/>
          <w:szCs w:val="18"/>
        </w:rPr>
      </w:pPr>
      <w:r>
        <w:rPr>
          <w:sz w:val="18"/>
          <w:szCs w:val="18"/>
        </w:rPr>
        <w:t>DIALEKTIKA ODLIŠNOSTI</w:t>
      </w:r>
    </w:p>
    <w:p w:rsidR="0064705E" w:rsidRDefault="00DF7F2A">
      <w:pPr>
        <w:pStyle w:val="Zkladntext1"/>
        <w:framePr w:w="5520" w:h="9720" w:hRule="exact" w:wrap="none" w:vAnchor="page" w:hAnchor="page" w:x="7476" w:y="836"/>
        <w:shd w:val="clear" w:color="auto" w:fill="auto"/>
        <w:spacing w:after="200"/>
        <w:ind w:firstLine="1820"/>
        <w:jc w:val="both"/>
      </w:pPr>
      <w:r>
        <w:t>Při četbě literárních děl té</w:t>
      </w:r>
      <w:r>
        <w:t xml:space="preserve"> doby a doby bezprostředně následující,</w:t>
      </w:r>
      <w:r>
        <w:rPr>
          <w:vertAlign w:val="superscript"/>
        </w:rPr>
        <w:t>14</w:t>
      </w:r>
      <w:r>
        <w:t>) stejně jako při pohledu na po</w:t>
      </w:r>
      <w:r>
        <w:softHyphen/>
        <w:t xml:space="preserve">drobný výčet všech literárních škol, se nelze ubránit dojmu, </w:t>
      </w:r>
      <w:r>
        <w:rPr>
          <w:i/>
          <w:iCs/>
        </w:rPr>
        <w:t>Iv</w:t>
      </w:r>
      <w:r>
        <w:t xml:space="preserve"> máme co činit se světem podléhajícím takřka mechanic</w:t>
      </w:r>
      <w:r>
        <w:softHyphen/>
        <w:t xml:space="preserve">ky zákonu akce a reakce anebo, zohledníme-li tvůrčí záměry </w:t>
      </w:r>
      <w:proofErr w:type="spellStart"/>
      <w:r>
        <w:rPr>
          <w:smallCaps/>
        </w:rPr>
        <w:t>ii</w:t>
      </w:r>
      <w:proofErr w:type="spellEnd"/>
      <w:r>
        <w:t xml:space="preserve"> sklo</w:t>
      </w:r>
      <w:r>
        <w:t>ny, zákonu ctižádosti a snahy se odlišit. Není činu kte</w:t>
      </w:r>
      <w:r>
        <w:softHyphen/>
        <w:t>réhokoli činitele, aby nebyl reakcí na činy všech ostatních či alespoň na některý z nich: novoromantismus odmítá nesrozu</w:t>
      </w:r>
      <w:r>
        <w:softHyphen/>
        <w:t xml:space="preserve">mitelnost symbolismu a hodlá smířit poezii a vědu; </w:t>
      </w:r>
      <w:proofErr w:type="spellStart"/>
      <w:proofErr w:type="gramStart"/>
      <w:r>
        <w:t>Moréaso</w:t>
      </w:r>
      <w:proofErr w:type="spellEnd"/>
      <w:r>
        <w:t xml:space="preserve">- </w:t>
      </w:r>
      <w:proofErr w:type="spellStart"/>
      <w:r>
        <w:rPr>
          <w:smallCaps/>
        </w:rPr>
        <w:t>vii</w:t>
      </w:r>
      <w:proofErr w:type="spellEnd"/>
      <w:proofErr w:type="gramEnd"/>
      <w:r>
        <w:t xml:space="preserve"> románská škola se návratem ke klasicismu vymezuje vůči </w:t>
      </w:r>
      <w:proofErr w:type="spellStart"/>
      <w:r>
        <w:t>wvmbolismu</w:t>
      </w:r>
      <w:proofErr w:type="spellEnd"/>
      <w:r>
        <w:t xml:space="preserve">; humanismus Fernanda </w:t>
      </w:r>
      <w:proofErr w:type="spellStart"/>
      <w:r>
        <w:t>Gregha</w:t>
      </w:r>
      <w:proofErr w:type="spellEnd"/>
      <w:r>
        <w:t xml:space="preserve"> se vzpírá sym</w:t>
      </w:r>
      <w:r>
        <w:softHyphen/>
        <w:t xml:space="preserve">bolismu pro jeho nesrozumitelnost a nelidskost; </w:t>
      </w:r>
      <w:proofErr w:type="spellStart"/>
      <w:r>
        <w:t>Moriceova</w:t>
      </w:r>
      <w:proofErr w:type="spellEnd"/>
      <w:r>
        <w:t xml:space="preserve"> </w:t>
      </w:r>
      <w:proofErr w:type="spellStart"/>
      <w:r>
        <w:t>liovoklasicistní</w:t>
      </w:r>
      <w:proofErr w:type="spellEnd"/>
      <w:r>
        <w:t xml:space="preserve"> renesance odmítá šmahem vše nové atd.</w:t>
      </w:r>
    </w:p>
    <w:p w:rsidR="0064705E" w:rsidRDefault="00DF7F2A">
      <w:pPr>
        <w:pStyle w:val="Zkladntext30"/>
        <w:framePr w:w="5520" w:h="9720" w:hRule="exact" w:wrap="none" w:vAnchor="page" w:hAnchor="page" w:x="7476" w:y="836"/>
        <w:shd w:val="clear" w:color="auto" w:fill="auto"/>
        <w:jc w:val="both"/>
      </w:pPr>
      <w:proofErr w:type="gramStart"/>
      <w:r>
        <w:t>I ,ze</w:t>
      </w:r>
      <w:proofErr w:type="gramEnd"/>
      <w:r>
        <w:t xml:space="preserve"> souhlasit s Robertem </w:t>
      </w:r>
      <w:proofErr w:type="spellStart"/>
      <w:r>
        <w:t>Wohlem</w:t>
      </w:r>
      <w:proofErr w:type="spellEnd"/>
      <w:r>
        <w:t>,</w:t>
      </w:r>
      <w:r>
        <w:t xml:space="preserve"> že právě na přelomu devatenác</w:t>
      </w:r>
      <w:r>
        <w:softHyphen/>
        <w:t>tého a dvacátého století se projevuje výrazná tendence pojímat celé společenské uspořádání schématem generačních odlišností (neboť</w:t>
      </w:r>
    </w:p>
    <w:p w:rsidR="0064705E" w:rsidRDefault="00DF7F2A">
      <w:pPr>
        <w:pStyle w:val="Zkladntext20"/>
        <w:framePr w:w="5520" w:h="9720" w:hRule="exact" w:wrap="none" w:vAnchor="page" w:hAnchor="page" w:x="7476" w:y="836"/>
        <w:shd w:val="clear" w:color="auto" w:fill="auto"/>
        <w:spacing w:after="0"/>
        <w:jc w:val="both"/>
      </w:pPr>
      <w:r>
        <w:t xml:space="preserve">I *) lato anketa, uveřejňovaná v </w:t>
      </w:r>
      <w:proofErr w:type="spellStart"/>
      <w:r>
        <w:rPr>
          <w:i/>
          <w:iCs/>
        </w:rPr>
        <w:t>L’Écho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deParis</w:t>
      </w:r>
      <w:proofErr w:type="spellEnd"/>
      <w:r>
        <w:t xml:space="preserve"> od 3. března do 5. července 1891, je typickým </w:t>
      </w:r>
      <w:r>
        <w:t>příkladem nových pořádků v literárním poli. Anketa přináší odpovědi šedesáti čtyř spisovatelů. Kladenými otázkami nepokrytě vyjadřuje novou filozofii dějin jakožto neustálého překonávání starého novým: „1. Je naturalismus chorý? Je mrtev? 2. Může být zachr</w:t>
      </w:r>
      <w:r>
        <w:t>áněn? 3. Co jej nahradí?“</w:t>
      </w:r>
    </w:p>
    <w:p w:rsidR="0064705E" w:rsidRDefault="00DF7F2A">
      <w:pPr>
        <w:pStyle w:val="Zkladntext20"/>
        <w:framePr w:w="5520" w:h="9720" w:hRule="exact" w:wrap="none" w:vAnchor="page" w:hAnchor="page" w:x="7476" w:y="836"/>
        <w:shd w:val="clear" w:color="auto" w:fill="auto"/>
        <w:spacing w:after="0"/>
        <w:jc w:val="both"/>
      </w:pPr>
      <w:r>
        <w:t>|4) Viz Florian-</w:t>
      </w:r>
      <w:proofErr w:type="spellStart"/>
      <w:r>
        <w:t>Parmentier</w:t>
      </w:r>
      <w:proofErr w:type="spellEnd"/>
      <w:r>
        <w:t xml:space="preserve">: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Littérature</w:t>
      </w:r>
      <w:proofErr w:type="spellEnd"/>
      <w:r>
        <w:rPr>
          <w:i/>
          <w:iCs/>
        </w:rPr>
        <w:t xml:space="preserve"> et 1’Époque. </w:t>
      </w:r>
      <w:proofErr w:type="spellStart"/>
      <w:r>
        <w:rPr>
          <w:i/>
          <w:iCs/>
        </w:rPr>
        <w:t>Histoire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littérature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franfaise</w:t>
      </w:r>
      <w:proofErr w:type="spellEnd"/>
      <w:r>
        <w:rPr>
          <w:i/>
          <w:iCs/>
        </w:rPr>
        <w:t xml:space="preserve"> de 1885 á nos </w:t>
      </w:r>
      <w:proofErr w:type="spellStart"/>
      <w:r>
        <w:rPr>
          <w:i/>
          <w:iCs/>
        </w:rPr>
        <w:t>jours</w:t>
      </w:r>
      <w:proofErr w:type="spellEnd"/>
      <w:r>
        <w:rPr>
          <w:i/>
          <w:iCs/>
        </w:rPr>
        <w:t>,</w:t>
      </w:r>
      <w:r>
        <w:t xml:space="preserve"> cit. dílo; J. Muller — G. </w:t>
      </w:r>
      <w:proofErr w:type="spellStart"/>
      <w:r>
        <w:t>Picard</w:t>
      </w:r>
      <w:proofErr w:type="spellEnd"/>
      <w:r>
        <w:t xml:space="preserve">: </w:t>
      </w:r>
      <w:r>
        <w:rPr>
          <w:i/>
          <w:iCs/>
        </w:rPr>
        <w:t xml:space="preserve">Les </w:t>
      </w:r>
      <w:proofErr w:type="spellStart"/>
      <w:r>
        <w:rPr>
          <w:i/>
          <w:iCs/>
        </w:rPr>
        <w:t>Tendances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présentes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littérature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fran</w:t>
      </w:r>
      <w:proofErr w:type="spellEnd"/>
      <w:r>
        <w:rPr>
          <w:i/>
          <w:iCs/>
        </w:rPr>
        <w:t>&lt;</w:t>
      </w:r>
      <w:proofErr w:type="gramEnd"/>
      <w:r>
        <w:rPr>
          <w:i/>
          <w:iCs/>
        </w:rPr>
        <w:t>;</w:t>
      </w:r>
      <w:proofErr w:type="spellStart"/>
      <w:r>
        <w:rPr>
          <w:i/>
          <w:iCs/>
        </w:rPr>
        <w:t>aise</w:t>
      </w:r>
      <w:proofErr w:type="spellEnd"/>
      <w:r>
        <w:rPr>
          <w:i/>
          <w:iCs/>
        </w:rPr>
        <w:t>,</w:t>
      </w:r>
      <w:r>
        <w:t xml:space="preserve"> 1913; G. </w:t>
      </w:r>
      <w:proofErr w:type="spellStart"/>
      <w:r>
        <w:t>Le</w:t>
      </w:r>
      <w:proofErr w:type="spellEnd"/>
      <w:r>
        <w:t xml:space="preserve"> </w:t>
      </w:r>
      <w:proofErr w:type="spellStart"/>
      <w:r>
        <w:t>Cardonnel</w:t>
      </w:r>
      <w:proofErr w:type="spellEnd"/>
      <w:r>
        <w:t xml:space="preserve"> — Ch. </w:t>
      </w:r>
      <w:proofErr w:type="spellStart"/>
      <w:r>
        <w:t>Vellay</w:t>
      </w:r>
      <w:proofErr w:type="spellEnd"/>
      <w:r>
        <w:t xml:space="preserve">: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littérature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contemporaine</w:t>
      </w:r>
      <w:proofErr w:type="spellEnd"/>
      <w:r>
        <w:t xml:space="preserve"> (Paris: </w:t>
      </w:r>
      <w:proofErr w:type="spellStart"/>
      <w:r>
        <w:t>Mercure</w:t>
      </w:r>
      <w:proofErr w:type="spellEnd"/>
      <w:r>
        <w:t xml:space="preserve"> de France, 1905).</w:t>
      </w:r>
    </w:p>
    <w:p w:rsidR="0064705E" w:rsidRDefault="0064705E">
      <w:pPr>
        <w:spacing w:line="1" w:lineRule="exact"/>
      </w:pPr>
    </w:p>
    <w:sectPr w:rsidR="0064705E">
      <w:pgSz w:w="13823" w:h="1141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2A" w:rsidRDefault="00DF7F2A">
      <w:r>
        <w:separator/>
      </w:r>
    </w:p>
  </w:endnote>
  <w:endnote w:type="continuationSeparator" w:id="0">
    <w:p w:rsidR="00DF7F2A" w:rsidRDefault="00DF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2A" w:rsidRDefault="00DF7F2A"/>
  </w:footnote>
  <w:footnote w:type="continuationSeparator" w:id="0">
    <w:p w:rsidR="00DF7F2A" w:rsidRDefault="00DF7F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E"/>
    <w:rsid w:val="0064705E"/>
    <w:rsid w:val="00952589"/>
    <w:rsid w:val="00D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A414A-C543-4070-BEB3-A52B340D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54" w:lineRule="auto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  <w:ind w:firstLine="3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66" w:lineRule="auto"/>
      <w:ind w:left="240" w:hanging="2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  <w:ind w:firstLine="3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62" w:lineRule="auto"/>
      <w:ind w:left="280" w:hanging="140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Kyloušek</cp:lastModifiedBy>
  <cp:revision>2</cp:revision>
  <dcterms:created xsi:type="dcterms:W3CDTF">2019-09-12T15:13:00Z</dcterms:created>
  <dcterms:modified xsi:type="dcterms:W3CDTF">2019-09-12T15:20:00Z</dcterms:modified>
</cp:coreProperties>
</file>