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90" w:rsidRDefault="003D5C90" w:rsidP="003D5C90">
      <w:pPr>
        <w:pStyle w:val="Skripta2"/>
      </w:pPr>
      <w:r>
        <w:t>Počítání v Bűrkerově komůrce</w:t>
      </w:r>
    </w:p>
    <w:p w:rsidR="003D5C90" w:rsidRDefault="003D5C90" w:rsidP="003D5C90"/>
    <w:p w:rsidR="003D5C90" w:rsidRDefault="003D5C90" w:rsidP="003D5C90">
      <w:r>
        <w:t xml:space="preserve">Mnohdy se setkáme se stanovením koncentrace buněk, které udává počet buněk na danou objemovou jednotku.  V dnešní době lze k počítání buněk využít drahé přístroje zvané country (např. </w:t>
      </w:r>
      <w:proofErr w:type="spellStart"/>
      <w:r>
        <w:t>Coulter</w:t>
      </w:r>
      <w:proofErr w:type="spellEnd"/>
      <w:r>
        <w:t xml:space="preserve"> </w:t>
      </w:r>
      <w:proofErr w:type="spellStart"/>
      <w:r>
        <w:t>Counter</w:t>
      </w:r>
      <w:proofErr w:type="spellEnd"/>
      <w:r>
        <w:t xml:space="preserve">) nebo průtokový </w:t>
      </w:r>
      <w:proofErr w:type="spellStart"/>
      <w:r>
        <w:t>cytometr</w:t>
      </w:r>
      <w:proofErr w:type="spellEnd"/>
      <w:r>
        <w:t xml:space="preserve">, které jsou plně automatické. Ovšem pořizovací cena těchto přístrojů je velmi vysoká, a tak je manuální počítání buněk v počítací komůrce stále ještě docela rozšířené. </w:t>
      </w:r>
    </w:p>
    <w:p w:rsidR="003D5C90" w:rsidRDefault="003D5C90" w:rsidP="003D5C90"/>
    <w:p w:rsidR="003D5C90" w:rsidRDefault="003D5C90" w:rsidP="003D5C90">
      <w:pPr>
        <w:pStyle w:val="Skripta3"/>
      </w:pPr>
      <w:bookmarkStart w:id="0" w:name="_Toc282376504"/>
      <w:r>
        <w:t>1.</w:t>
      </w:r>
      <w:r>
        <w:tab/>
        <w:t xml:space="preserve">Popis </w:t>
      </w:r>
      <w:proofErr w:type="spellStart"/>
      <w:r>
        <w:t>Bürkerovy</w:t>
      </w:r>
      <w:proofErr w:type="spellEnd"/>
      <w:r>
        <w:t xml:space="preserve">  komůrky</w:t>
      </w:r>
      <w:bookmarkEnd w:id="0"/>
    </w:p>
    <w:p w:rsidR="003D5C90" w:rsidRDefault="003D5C90" w:rsidP="003D5C90">
      <w:r>
        <w:t xml:space="preserve">Princip manuálního stanovení počtu buněk spočívá v mikroskopickém pozorování speciální komůrky, na kterou byla nanesena buněčná suspenze. Komůrka slouží k ustálení objemu, ve kterém buňky pozorujeme. Nejvíce rozšířená je tzv. </w:t>
      </w:r>
      <w:proofErr w:type="spellStart"/>
      <w:r>
        <w:t>Bürkerova</w:t>
      </w:r>
      <w:proofErr w:type="spellEnd"/>
      <w:r>
        <w:t xml:space="preserve"> komůrka, která představuje speciálně upravené podložní sklo se dvěma počítacími ploškami, oddělených zářezem. V každé počítací plošce je </w:t>
      </w:r>
      <w:proofErr w:type="spellStart"/>
      <w:r>
        <w:t>mikromřížka</w:t>
      </w:r>
      <w:proofErr w:type="spellEnd"/>
      <w:r>
        <w:t xml:space="preserve"> o přesně definovaných rozměrech:</w:t>
      </w:r>
    </w:p>
    <w:p w:rsidR="003D5C90" w:rsidRDefault="003D5C90" w:rsidP="003D5C90"/>
    <w:p w:rsidR="003D5C90" w:rsidRDefault="003D5C90" w:rsidP="003D5C90">
      <w:pPr>
        <w:ind w:left="2268"/>
      </w:pPr>
      <w:r w:rsidRPr="00475DCC">
        <w:rPr>
          <w:i/>
        </w:rPr>
        <w:t>Hloubka</w:t>
      </w:r>
      <w:r>
        <w:t>: 0,1 mm</w:t>
      </w:r>
    </w:p>
    <w:p w:rsidR="003D5C90" w:rsidRPr="005640BD" w:rsidRDefault="003D5C90" w:rsidP="003D5C90">
      <w:pPr>
        <w:ind w:left="2268"/>
        <w:rPr>
          <w:vertAlign w:val="superscript"/>
        </w:rPr>
      </w:pPr>
      <w:r w:rsidRPr="00475DCC">
        <w:rPr>
          <w:i/>
        </w:rPr>
        <w:t>Plocha malého čtverce</w:t>
      </w:r>
      <w:r>
        <w:t>: 1/400 mm</w:t>
      </w:r>
      <w:r w:rsidRPr="002A3C45">
        <w:rPr>
          <w:vertAlign w:val="superscript"/>
        </w:rPr>
        <w:t>2</w:t>
      </w:r>
      <w:r>
        <w:t xml:space="preserve"> = 0,0025 mm</w:t>
      </w:r>
      <w:r>
        <w:rPr>
          <w:vertAlign w:val="superscript"/>
        </w:rPr>
        <w:t>2</w:t>
      </w:r>
    </w:p>
    <w:p w:rsidR="003D5C90" w:rsidRPr="005640BD" w:rsidRDefault="003D5C90" w:rsidP="003D5C90">
      <w:pPr>
        <w:ind w:left="2268"/>
        <w:rPr>
          <w:vertAlign w:val="superscript"/>
        </w:rPr>
      </w:pPr>
      <w:r w:rsidRPr="00475DCC">
        <w:rPr>
          <w:i/>
        </w:rPr>
        <w:t>Plocha velkého čtverce</w:t>
      </w:r>
      <w:r>
        <w:t>: 1/25 mm</w:t>
      </w:r>
      <w:r w:rsidRPr="002A3C45">
        <w:rPr>
          <w:vertAlign w:val="superscript"/>
        </w:rPr>
        <w:t>2</w:t>
      </w:r>
      <w:r>
        <w:t xml:space="preserve"> = 0,04 mm</w:t>
      </w:r>
      <w:r>
        <w:rPr>
          <w:vertAlign w:val="superscript"/>
        </w:rPr>
        <w:t>2</w:t>
      </w:r>
    </w:p>
    <w:p w:rsidR="003D5C90" w:rsidRDefault="003D5C90" w:rsidP="003D5C90">
      <w:pPr>
        <w:spacing w:after="120"/>
      </w:pPr>
    </w:p>
    <w:p w:rsidR="003D5C90" w:rsidRDefault="003D5C90" w:rsidP="003D5C90">
      <w:pPr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1981835</wp:posOffset>
            </wp:positionV>
            <wp:extent cx="1076325" cy="952500"/>
            <wp:effectExtent l="19050" t="0" r="9525" b="0"/>
            <wp:wrapTight wrapText="bothSides">
              <wp:wrapPolygon edited="0">
                <wp:start x="-382" y="0"/>
                <wp:lineTo x="-382" y="21168"/>
                <wp:lineTo x="21791" y="21168"/>
                <wp:lineTo x="21791" y="0"/>
                <wp:lineTo x="-382" y="0"/>
              </wp:wrapPolygon>
            </wp:wrapTight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035" r="26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50.25pt;margin-top:118.35pt;width:47.25pt;height:33.95pt;flip:x;z-index:251662336;mso-position-horizontal-relative:text;mso-position-vertical-relative:text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3848735" cy="2893695"/>
            <wp:effectExtent l="19050" t="0" r="0" b="0"/>
            <wp:docPr id="1" name="obrázek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89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C90" w:rsidRDefault="003D5C90" w:rsidP="003D5C90">
      <w:pPr>
        <w:rPr>
          <w:b/>
        </w:rPr>
      </w:pPr>
      <w:r w:rsidRPr="00297434">
        <w:rPr>
          <w:b/>
        </w:rPr>
        <w:t xml:space="preserve"> </w:t>
      </w:r>
    </w:p>
    <w:p w:rsidR="003D5C90" w:rsidRPr="00297434" w:rsidRDefault="003D5C90" w:rsidP="003D5C90"/>
    <w:p w:rsidR="003D5C90" w:rsidRDefault="003D5C90" w:rsidP="003D5C90">
      <w:pPr>
        <w:rPr>
          <w:i/>
        </w:rPr>
      </w:pPr>
      <w:r w:rsidRPr="00EF77BF">
        <w:rPr>
          <w:i/>
        </w:rPr>
        <w:t xml:space="preserve">Obr. 1.2: Zobrazení </w:t>
      </w:r>
      <w:proofErr w:type="spellStart"/>
      <w:r w:rsidRPr="00EF77BF">
        <w:rPr>
          <w:i/>
        </w:rPr>
        <w:t>Bürkerovy</w:t>
      </w:r>
      <w:proofErr w:type="spellEnd"/>
      <w:r w:rsidRPr="00EF77BF">
        <w:rPr>
          <w:i/>
        </w:rPr>
        <w:t xml:space="preserve"> komůrky s detailem počítací mřížky (okraje jsou tvořeny třemi čarami, aby byl zřetelný konec mřížky).</w:t>
      </w:r>
    </w:p>
    <w:p w:rsidR="003D5C90" w:rsidRPr="00EF77BF" w:rsidRDefault="003D5C90" w:rsidP="003D5C90"/>
    <w:p w:rsidR="003D5C90" w:rsidRPr="002A3C45" w:rsidRDefault="003D5C90" w:rsidP="003D5C90">
      <w:pPr>
        <w:pStyle w:val="Skripta3"/>
      </w:pPr>
      <w:bookmarkStart w:id="1" w:name="_Toc282376505"/>
      <w:r>
        <w:t>2</w:t>
      </w:r>
      <w:r>
        <w:tab/>
        <w:t>.</w:t>
      </w:r>
      <w:r>
        <w:tab/>
      </w:r>
      <w:r w:rsidRPr="00132FC8">
        <w:t>Post</w:t>
      </w:r>
      <w:r>
        <w:t>up počítání v </w:t>
      </w:r>
      <w:proofErr w:type="spellStart"/>
      <w:r>
        <w:t>Bürkerově</w:t>
      </w:r>
      <w:proofErr w:type="spellEnd"/>
      <w:r>
        <w:t xml:space="preserve"> komůrce</w:t>
      </w:r>
      <w:bookmarkEnd w:id="1"/>
    </w:p>
    <w:p w:rsidR="003D5C90" w:rsidRDefault="003D5C90" w:rsidP="003D5C90">
      <w:pPr>
        <w:numPr>
          <w:ilvl w:val="0"/>
          <w:numId w:val="1"/>
        </w:numPr>
        <w:tabs>
          <w:tab w:val="clear" w:pos="1080"/>
          <w:tab w:val="left" w:pos="426"/>
        </w:tabs>
        <w:ind w:left="426"/>
      </w:pPr>
      <w:r>
        <w:t xml:space="preserve">Na čistou a suchou </w:t>
      </w:r>
      <w:proofErr w:type="spellStart"/>
      <w:r>
        <w:t>Bűrkerovu</w:t>
      </w:r>
      <w:proofErr w:type="spellEnd"/>
      <w:r>
        <w:t xml:space="preserve"> komůrku položte krycí sklíčko tak, aby těsně přiléhalo k ploškám po stranách (využijte navlhčení styčných ploch).</w:t>
      </w:r>
    </w:p>
    <w:p w:rsidR="003D5C90" w:rsidRDefault="003D5C90" w:rsidP="003D5C90">
      <w:pPr>
        <w:numPr>
          <w:ilvl w:val="0"/>
          <w:numId w:val="1"/>
        </w:numPr>
        <w:tabs>
          <w:tab w:val="clear" w:pos="1080"/>
          <w:tab w:val="left" w:pos="426"/>
        </w:tabs>
        <w:ind w:left="426"/>
      </w:pPr>
      <w:r>
        <w:t>Připravenou suspenzi buněk dobře protřepejte.</w:t>
      </w:r>
    </w:p>
    <w:p w:rsidR="003D5C90" w:rsidRDefault="003D5C90" w:rsidP="003D5C90">
      <w:pPr>
        <w:numPr>
          <w:ilvl w:val="0"/>
          <w:numId w:val="1"/>
        </w:numPr>
        <w:tabs>
          <w:tab w:val="clear" w:pos="1080"/>
          <w:tab w:val="left" w:pos="426"/>
        </w:tabs>
        <w:ind w:left="426"/>
      </w:pPr>
      <w:r>
        <w:t xml:space="preserve">Naneste cca 10 </w:t>
      </w:r>
      <w:proofErr w:type="spellStart"/>
      <w:r>
        <w:t>μl</w:t>
      </w:r>
      <w:proofErr w:type="spellEnd"/>
      <w:r>
        <w:t xml:space="preserve"> buněčné suspenze ze strany na hranu krycího skla (do obou počítacích mřížek. Snažte se vyvarovat tvorbě bublin.</w:t>
      </w:r>
    </w:p>
    <w:p w:rsidR="003D5C90" w:rsidRDefault="003D5C90" w:rsidP="003D5C90">
      <w:pPr>
        <w:numPr>
          <w:ilvl w:val="0"/>
          <w:numId w:val="1"/>
        </w:numPr>
        <w:tabs>
          <w:tab w:val="clear" w:pos="1080"/>
          <w:tab w:val="left" w:pos="426"/>
        </w:tabs>
        <w:ind w:left="426"/>
      </w:pPr>
      <w:r>
        <w:t xml:space="preserve">Sledujte ve světelném mikroskopu. Používá se středním zvětšení (100x) s přicloněným kondenzorem (přivřená aperturní clona kondenzoru). Postupujte vždy čtverec po čtverci směrem zleva doprava a </w:t>
      </w:r>
      <w:proofErr w:type="spellStart"/>
      <w:r>
        <w:t>zhora</w:t>
      </w:r>
      <w:proofErr w:type="spellEnd"/>
      <w:r>
        <w:t xml:space="preserve"> dolů. </w:t>
      </w:r>
    </w:p>
    <w:p w:rsidR="003D5C90" w:rsidRDefault="003D5C90" w:rsidP="003D5C90">
      <w:pPr>
        <w:numPr>
          <w:ilvl w:val="0"/>
          <w:numId w:val="1"/>
        </w:numPr>
        <w:tabs>
          <w:tab w:val="clear" w:pos="1080"/>
          <w:tab w:val="left" w:pos="426"/>
        </w:tabs>
        <w:ind w:left="426"/>
      </w:pPr>
      <w:r>
        <w:t>Po ukončení počítání obě části komůrky oddělte, opatrně opláchněte vodou a vytřete dosucha.</w:t>
      </w:r>
    </w:p>
    <w:p w:rsidR="003D5C90" w:rsidRDefault="003D5C90" w:rsidP="003D5C90"/>
    <w:p w:rsidR="003D5C90" w:rsidRPr="00132FC8" w:rsidRDefault="003D5C90" w:rsidP="003D5C90">
      <w:pPr>
        <w:pStyle w:val="Skripta3"/>
      </w:pPr>
      <w:bookmarkStart w:id="2" w:name="_Toc282376506"/>
      <w:r>
        <w:lastRenderedPageBreak/>
        <w:t>3</w:t>
      </w:r>
      <w:r w:rsidR="00C44E41">
        <w:t>.</w:t>
      </w:r>
      <w:r w:rsidR="00C44E41">
        <w:tab/>
      </w:r>
      <w:r>
        <w:tab/>
      </w:r>
      <w:r w:rsidRPr="00132FC8">
        <w:t>Hodnocení</w:t>
      </w:r>
      <w:bookmarkEnd w:id="2"/>
    </w:p>
    <w:p w:rsidR="003D5C90" w:rsidRDefault="003D5C90" w:rsidP="003D5C90">
      <w:r>
        <w:t>Počet buněk v 1 mm</w:t>
      </w:r>
      <w:r w:rsidRPr="00D85EBA">
        <w:rPr>
          <w:vertAlign w:val="superscript"/>
        </w:rPr>
        <w:t>3</w:t>
      </w:r>
      <w:r>
        <w:t xml:space="preserve"> (µl) suspenze lze určit vzorcem:</w:t>
      </w:r>
      <w:r w:rsidRPr="00FA324F">
        <w:t xml:space="preserve"> </w:t>
      </w:r>
      <w:r>
        <w:t xml:space="preserve">   </w:t>
      </w:r>
      <w:r w:rsidRPr="00D85EBA">
        <w:rPr>
          <w:position w:val="-24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95pt;height:30.85pt" o:ole="">
            <v:imagedata r:id="rId7" o:title=""/>
          </v:shape>
          <o:OLEObject Type="Embed" ProgID="Equation.3" ShapeID="_x0000_i1025" DrawAspect="Content" ObjectID="_1483781427" r:id="rId8"/>
        </w:object>
      </w:r>
    </w:p>
    <w:p w:rsidR="003D5C90" w:rsidRDefault="003D5C90" w:rsidP="003D5C90">
      <w:r>
        <w:t>b...počet buněk v 1 mm</w:t>
      </w:r>
      <w:r w:rsidRPr="00A30059">
        <w:rPr>
          <w:vertAlign w:val="superscript"/>
        </w:rPr>
        <w:t>3</w:t>
      </w:r>
    </w:p>
    <w:p w:rsidR="003D5C90" w:rsidRDefault="003D5C90" w:rsidP="003D5C90">
      <w:r>
        <w:t>n...celkový počet napočítaných buněk</w:t>
      </w:r>
    </w:p>
    <w:p w:rsidR="003D5C90" w:rsidRDefault="003D5C90" w:rsidP="003D5C90">
      <w:r>
        <w:t>c...počet čtverců ve kterých se počítalo (nejčastěji 25 nebo 50)</w:t>
      </w:r>
    </w:p>
    <w:p w:rsidR="003D5C90" w:rsidRDefault="003D5C90" w:rsidP="003D5C90">
      <w:r>
        <w:t>v...plocha použitého čtverce (malý nebo velký)</w:t>
      </w:r>
    </w:p>
    <w:p w:rsidR="003D5C90" w:rsidRDefault="003D5C90" w:rsidP="003D5C90">
      <w:r>
        <w:t>h...hloubka komůrky</w:t>
      </w:r>
    </w:p>
    <w:p w:rsidR="003D5C90" w:rsidRDefault="003D5C90" w:rsidP="003D5C90">
      <w:r>
        <w:t>z...použité ředění suspenze (uvádí se kolikrát byla suspenze ředěna např. 20x, tedy 20)</w:t>
      </w:r>
    </w:p>
    <w:p w:rsidR="003D5C90" w:rsidRDefault="003D5C90" w:rsidP="003D5C90"/>
    <w:p w:rsidR="003D5C90" w:rsidRPr="004E2F49" w:rsidRDefault="003D5C90" w:rsidP="003D5C90">
      <w:pPr>
        <w:jc w:val="center"/>
        <w:rPr>
          <w:i/>
        </w:rPr>
      </w:pPr>
      <w:r w:rsidRPr="004E2F49">
        <w:rPr>
          <w:i/>
        </w:rPr>
        <w:t xml:space="preserve">Hodnoty </w:t>
      </w:r>
      <w:r w:rsidRPr="000E7EA8">
        <w:t>v</w:t>
      </w:r>
      <w:r w:rsidRPr="004E2F49">
        <w:rPr>
          <w:i/>
        </w:rPr>
        <w:t xml:space="preserve"> a </w:t>
      </w:r>
      <w:r w:rsidRPr="000E7EA8">
        <w:t>h</w:t>
      </w:r>
      <w:r w:rsidRPr="004E2F49">
        <w:rPr>
          <w:i/>
        </w:rPr>
        <w:t xml:space="preserve"> jsou konstanty dohromady udávající objem čtverce, ve kterém se počítalo.</w:t>
      </w:r>
    </w:p>
    <w:p w:rsidR="003D5C90" w:rsidRDefault="003D5C90" w:rsidP="003D5C90">
      <w:pPr>
        <w:rPr>
          <w:b/>
          <w:bCs/>
        </w:rPr>
      </w:pPr>
    </w:p>
    <w:p w:rsidR="003D5C90" w:rsidRDefault="003D5C90" w:rsidP="003D5C90">
      <w:pPr>
        <w:rPr>
          <w:b/>
          <w:bCs/>
        </w:rPr>
      </w:pPr>
      <w:r>
        <w:rPr>
          <w:b/>
          <w:bCs/>
        </w:rPr>
        <w:t>Pro každý vzorek spočítejte nejméně 25 čtverců v každé z počítacích mřížek (celkem tedy 50 velkých čtverců).</w:t>
      </w:r>
    </w:p>
    <w:p w:rsidR="003D5C90" w:rsidRPr="00C341E0" w:rsidRDefault="003D5C90" w:rsidP="003D5C90">
      <w:pPr>
        <w:rPr>
          <w:bCs/>
        </w:rPr>
      </w:pPr>
      <w:r>
        <w:rPr>
          <w:b/>
          <w:bCs/>
        </w:rPr>
        <w:t xml:space="preserve"> </w:t>
      </w:r>
    </w:p>
    <w:p w:rsidR="003D5C90" w:rsidRPr="00FA324F" w:rsidRDefault="003D5C90" w:rsidP="003D5C90">
      <w:pPr>
        <w:rPr>
          <w:b/>
        </w:rPr>
      </w:pPr>
      <w:r w:rsidRPr="00C341E0">
        <w:rPr>
          <w:b/>
        </w:rPr>
        <w:t>Poznámky:</w:t>
      </w:r>
    </w:p>
    <w:p w:rsidR="003D5C90" w:rsidRDefault="003D5C90" w:rsidP="003D5C90">
      <w:pPr>
        <w:numPr>
          <w:ilvl w:val="0"/>
          <w:numId w:val="2"/>
        </w:numPr>
        <w:tabs>
          <w:tab w:val="clear" w:pos="720"/>
        </w:tabs>
        <w:ind w:left="238" w:hanging="196"/>
      </w:pPr>
      <w:r>
        <w:t xml:space="preserve">aby se nepočítaly buňky ležící na rozhraní sousedních čtverců dvakrát, počítáme jen ty, které leží nebo se dotýkají pouze 2 vybraných sousedních stran čtverce (např. horní a levé, zevnitř i zvenčí). </w:t>
      </w:r>
    </w:p>
    <w:p w:rsidR="003D5C90" w:rsidRDefault="003D5C90" w:rsidP="003D5C90">
      <w:pPr>
        <w:numPr>
          <w:ilvl w:val="0"/>
          <w:numId w:val="2"/>
        </w:numPr>
        <w:tabs>
          <w:tab w:val="clear" w:pos="720"/>
        </w:tabs>
        <w:ind w:left="238" w:hanging="196"/>
      </w:pPr>
      <w:r>
        <w:t xml:space="preserve">příliš hustou suspenzi je třeba dodatečně zředit, tak aby v jednom čtverci nebylo více než 10 buněk. </w:t>
      </w:r>
    </w:p>
    <w:p w:rsidR="003D5C90" w:rsidRDefault="003D5C90" w:rsidP="003D5C90">
      <w:pPr>
        <w:numPr>
          <w:ilvl w:val="0"/>
          <w:numId w:val="2"/>
        </w:numPr>
        <w:tabs>
          <w:tab w:val="clear" w:pos="720"/>
        </w:tabs>
        <w:ind w:left="238" w:hanging="196"/>
      </w:pPr>
      <w:r>
        <w:t>leukocyty se počítají ve velkých čtvercích.</w:t>
      </w:r>
    </w:p>
    <w:p w:rsidR="003D5C90" w:rsidRDefault="003D5C90" w:rsidP="003D5C90">
      <w:pPr>
        <w:numPr>
          <w:ilvl w:val="0"/>
          <w:numId w:val="2"/>
        </w:numPr>
        <w:tabs>
          <w:tab w:val="clear" w:pos="720"/>
        </w:tabs>
        <w:ind w:left="238" w:hanging="196"/>
      </w:pPr>
      <w:r>
        <w:t xml:space="preserve">při počítání leukocytů se používá </w:t>
      </w:r>
      <w:proofErr w:type="spellStart"/>
      <w:r>
        <w:t>Türkův</w:t>
      </w:r>
      <w:proofErr w:type="spellEnd"/>
      <w:r>
        <w:t xml:space="preserve"> roztok (</w:t>
      </w:r>
      <w:r w:rsidRPr="00E746CA">
        <w:rPr>
          <w:i/>
        </w:rPr>
        <w:t xml:space="preserve">10 µl krve + 190 µl </w:t>
      </w:r>
      <w:proofErr w:type="spellStart"/>
      <w:r w:rsidRPr="00E746CA">
        <w:rPr>
          <w:i/>
        </w:rPr>
        <w:t>Türkova</w:t>
      </w:r>
      <w:proofErr w:type="spellEnd"/>
      <w:r w:rsidRPr="00E746CA">
        <w:rPr>
          <w:i/>
        </w:rPr>
        <w:t xml:space="preserve"> roztoku</w:t>
      </w:r>
      <w:r>
        <w:t>)</w:t>
      </w:r>
    </w:p>
    <w:p w:rsidR="003D5C90" w:rsidRPr="002567AF" w:rsidRDefault="003D5C90" w:rsidP="003D5C90">
      <w:pPr>
        <w:pStyle w:val="inlinefiguretitle"/>
        <w:jc w:val="both"/>
      </w:pPr>
    </w:p>
    <w:p w:rsidR="003D5C90" w:rsidRDefault="003D5C90" w:rsidP="003D5C90">
      <w:pPr>
        <w:pStyle w:val="Normlnweb"/>
        <w:tabs>
          <w:tab w:val="left" w:pos="2505"/>
        </w:tabs>
        <w:spacing w:before="0" w:beforeAutospacing="0" w:after="0" w:afterAutospacing="0"/>
        <w:ind w:left="1134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10160</wp:posOffset>
            </wp:positionV>
            <wp:extent cx="1247775" cy="1285875"/>
            <wp:effectExtent l="19050" t="0" r="9525" b="0"/>
            <wp:wrapTight wrapText="bothSides">
              <wp:wrapPolygon edited="0">
                <wp:start x="-330" y="0"/>
                <wp:lineTo x="-330" y="21440"/>
                <wp:lineTo x="21765" y="21440"/>
                <wp:lineTo x="21765" y="0"/>
                <wp:lineTo x="-330" y="0"/>
              </wp:wrapPolygon>
            </wp:wrapTight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1426845" cy="1346200"/>
            <wp:effectExtent l="19050" t="0" r="1905" b="0"/>
            <wp:docPr id="3" name="obrázek 3" descr="beweg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weg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ab/>
      </w:r>
    </w:p>
    <w:p w:rsidR="003D5C90" w:rsidRDefault="003D5C90" w:rsidP="003D5C90">
      <w:pPr>
        <w:pStyle w:val="Normlnweb"/>
        <w:tabs>
          <w:tab w:val="center" w:pos="1080"/>
          <w:tab w:val="center" w:pos="7993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D5C90" w:rsidRPr="007F2130" w:rsidRDefault="003D5C90" w:rsidP="003D5C90">
      <w:pPr>
        <w:pStyle w:val="Normlnweb"/>
        <w:tabs>
          <w:tab w:val="center" w:pos="2268"/>
          <w:tab w:val="center" w:pos="6804"/>
        </w:tabs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F2130">
        <w:rPr>
          <w:rFonts w:ascii="Arial" w:hAnsi="Arial" w:cs="Arial"/>
          <w:i/>
          <w:sz w:val="20"/>
          <w:szCs w:val="20"/>
        </w:rPr>
        <w:t>Obr. 1.3: Postup vybírání čtverců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7F2130">
        <w:rPr>
          <w:rFonts w:ascii="Arial" w:hAnsi="Arial" w:cs="Arial"/>
          <w:i/>
          <w:sz w:val="20"/>
          <w:szCs w:val="20"/>
        </w:rPr>
        <w:t>Obr. 1.4: Výběr buněk uvnitř jednoho čtverce</w:t>
      </w:r>
    </w:p>
    <w:p w:rsidR="003D5C90" w:rsidRPr="00BD4739" w:rsidRDefault="003D5C90" w:rsidP="003D5C90">
      <w:pPr>
        <w:pStyle w:val="Normlnweb"/>
        <w:tabs>
          <w:tab w:val="center" w:pos="6804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F2130">
        <w:rPr>
          <w:rFonts w:ascii="Arial" w:hAnsi="Arial" w:cs="Arial"/>
          <w:i/>
          <w:sz w:val="20"/>
          <w:szCs w:val="20"/>
        </w:rPr>
        <w:tab/>
        <w:t>(černě označené buňky se počítají, bílé ne)</w:t>
      </w:r>
      <w:r>
        <w:rPr>
          <w:rFonts w:ascii="Arial" w:hAnsi="Arial" w:cs="Arial"/>
          <w:i/>
          <w:sz w:val="20"/>
          <w:szCs w:val="20"/>
        </w:rPr>
        <w:t>.</w:t>
      </w:r>
    </w:p>
    <w:p w:rsidR="002A288C" w:rsidRDefault="002A288C"/>
    <w:sectPr w:rsidR="002A288C" w:rsidSect="002A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935"/>
    <w:multiLevelType w:val="hybridMultilevel"/>
    <w:tmpl w:val="B27A6A56"/>
    <w:lvl w:ilvl="0" w:tplc="34564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8E109C"/>
    <w:multiLevelType w:val="hybridMultilevel"/>
    <w:tmpl w:val="A582F05C"/>
    <w:lvl w:ilvl="0" w:tplc="583C55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3D5C90"/>
    <w:rsid w:val="002A288C"/>
    <w:rsid w:val="003D5C90"/>
    <w:rsid w:val="00C4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5C90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C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5C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D5C9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customStyle="1" w:styleId="inlinefiguretitle">
    <w:name w:val="inlinefiguretitle"/>
    <w:basedOn w:val="Normln"/>
    <w:rsid w:val="003D5C90"/>
    <w:pPr>
      <w:autoSpaceDE w:val="0"/>
      <w:autoSpaceDN w:val="0"/>
      <w:spacing w:before="120" w:after="120"/>
      <w:jc w:val="center"/>
    </w:pPr>
    <w:rPr>
      <w:rFonts w:eastAsia="Arial Unicode MS"/>
      <w:b/>
      <w:bCs/>
      <w:szCs w:val="20"/>
    </w:rPr>
  </w:style>
  <w:style w:type="paragraph" w:customStyle="1" w:styleId="Skripta2">
    <w:name w:val="Skripta 2"/>
    <w:basedOn w:val="Nadpis2"/>
    <w:qFormat/>
    <w:rsid w:val="003D5C90"/>
    <w:pPr>
      <w:keepLines w:val="0"/>
      <w:spacing w:before="240" w:after="60"/>
      <w:ind w:left="578" w:hanging="578"/>
      <w:jc w:val="left"/>
    </w:pPr>
    <w:rPr>
      <w:rFonts w:ascii="Arial" w:eastAsia="Times New Roman" w:hAnsi="Arial" w:cs="Times New Roman"/>
      <w:iCs/>
      <w:caps/>
      <w:color w:val="auto"/>
      <w:sz w:val="24"/>
      <w:szCs w:val="24"/>
    </w:rPr>
  </w:style>
  <w:style w:type="paragraph" w:customStyle="1" w:styleId="Skripta3">
    <w:name w:val="Skripta 3"/>
    <w:basedOn w:val="Nadpis3"/>
    <w:qFormat/>
    <w:rsid w:val="003D5C90"/>
    <w:pPr>
      <w:keepLines w:val="0"/>
      <w:spacing w:before="120" w:after="120"/>
      <w:ind w:left="567"/>
      <w:jc w:val="left"/>
    </w:pPr>
    <w:rPr>
      <w:rFonts w:ascii="Arial" w:eastAsia="Times New Roman" w:hAnsi="Arial" w:cs="Times New Roman"/>
      <w:color w:val="auto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5C90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C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C9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Libor</cp:lastModifiedBy>
  <cp:revision>2</cp:revision>
  <dcterms:created xsi:type="dcterms:W3CDTF">2015-01-26T11:43:00Z</dcterms:created>
  <dcterms:modified xsi:type="dcterms:W3CDTF">2015-01-26T11:44:00Z</dcterms:modified>
</cp:coreProperties>
</file>