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9" w:rsidRPr="00D34639" w:rsidRDefault="00D34639">
      <w:pPr>
        <w:rPr>
          <w:rFonts w:ascii="Times New Roman" w:hAnsi="Times New Roman" w:cs="Times New Roman"/>
          <w:b/>
          <w:sz w:val="24"/>
          <w:szCs w:val="24"/>
        </w:rPr>
      </w:pPr>
      <w:r w:rsidRPr="00D34639">
        <w:rPr>
          <w:rFonts w:ascii="Times New Roman" w:hAnsi="Times New Roman" w:cs="Times New Roman"/>
          <w:b/>
          <w:sz w:val="24"/>
          <w:szCs w:val="24"/>
        </w:rPr>
        <w:t>Abstract:</w:t>
      </w:r>
    </w:p>
    <w:p w:rsidR="00D34639" w:rsidRDefault="00D34639" w:rsidP="00412C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639">
        <w:rPr>
          <w:rFonts w:ascii="Times New Roman" w:hAnsi="Times New Roman" w:cs="Times New Roman"/>
          <w:sz w:val="28"/>
          <w:szCs w:val="28"/>
        </w:rPr>
        <w:t>Synthesis of immunofluorescen</w:t>
      </w:r>
      <w:r w:rsidR="006D6E40">
        <w:rPr>
          <w:rFonts w:ascii="Times New Roman" w:hAnsi="Times New Roman" w:cs="Times New Roman"/>
          <w:sz w:val="28"/>
          <w:szCs w:val="28"/>
        </w:rPr>
        <w:t xml:space="preserve">ce probes </w:t>
      </w:r>
      <w:r w:rsidRPr="00D34639">
        <w:rPr>
          <w:rFonts w:ascii="Times New Roman" w:hAnsi="Times New Roman" w:cs="Times New Roman"/>
          <w:sz w:val="28"/>
          <w:szCs w:val="28"/>
        </w:rPr>
        <w:t>and affinity surfaces for selective and sensitive analysis of biologically important molecules</w:t>
      </w:r>
    </w:p>
    <w:p w:rsidR="00412C50" w:rsidRDefault="00412C50" w:rsidP="00412C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2C50" w:rsidRPr="0050637E" w:rsidRDefault="00412C50" w:rsidP="00412C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37E">
        <w:rPr>
          <w:rFonts w:ascii="Times New Roman" w:hAnsi="Times New Roman" w:cs="Times New Roman"/>
          <w:b/>
          <w:sz w:val="24"/>
          <w:szCs w:val="24"/>
          <w:u w:val="single"/>
        </w:rPr>
        <w:t>Marcela Liskova</w:t>
      </w:r>
      <w:r w:rsidRPr="0050637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  <w:r w:rsidRPr="0050637E">
        <w:rPr>
          <w:rFonts w:ascii="Times New Roman" w:hAnsi="Times New Roman" w:cs="Times New Roman"/>
          <w:b/>
          <w:sz w:val="24"/>
          <w:szCs w:val="24"/>
        </w:rPr>
        <w:t>, Karel Kleparnik</w:t>
      </w:r>
      <w:r w:rsidRPr="0050637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0637E">
        <w:rPr>
          <w:rFonts w:ascii="Times New Roman" w:hAnsi="Times New Roman" w:cs="Times New Roman"/>
          <w:b/>
          <w:sz w:val="24"/>
          <w:szCs w:val="24"/>
        </w:rPr>
        <w:t>, Pavel Pazdera</w:t>
      </w:r>
      <w:r w:rsidRPr="0050637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50637E">
        <w:rPr>
          <w:rFonts w:ascii="Times New Roman" w:hAnsi="Times New Roman" w:cs="Times New Roman"/>
          <w:b/>
          <w:sz w:val="24"/>
          <w:szCs w:val="24"/>
        </w:rPr>
        <w:t>, Frantisek Foret</w:t>
      </w:r>
      <w:r w:rsidRPr="0050637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412C50" w:rsidRDefault="00412C50">
      <w:pPr>
        <w:rPr>
          <w:rFonts w:ascii="Times New Roman" w:hAnsi="Times New Roman" w:cs="Times New Roman"/>
          <w:sz w:val="28"/>
          <w:szCs w:val="28"/>
        </w:rPr>
      </w:pPr>
    </w:p>
    <w:p w:rsidR="00412C50" w:rsidRDefault="00412C50" w:rsidP="00412C5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15FC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333CA6">
        <w:rPr>
          <w:rFonts w:ascii="Times New Roman" w:hAnsi="Times New Roman" w:cs="Times New Roman"/>
          <w:i/>
          <w:sz w:val="24"/>
          <w:szCs w:val="24"/>
        </w:rPr>
        <w:t xml:space="preserve">Institute of Analytical Chemistry ASCR, </w:t>
      </w:r>
      <w:proofErr w:type="spellStart"/>
      <w:r w:rsidRPr="00333CA6">
        <w:rPr>
          <w:rFonts w:ascii="Times New Roman" w:hAnsi="Times New Roman" w:cs="Times New Roman"/>
          <w:i/>
          <w:sz w:val="24"/>
          <w:szCs w:val="24"/>
        </w:rPr>
        <w:t>v.v.i</w:t>
      </w:r>
      <w:proofErr w:type="spellEnd"/>
      <w:r w:rsidRPr="00333CA6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Veveri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9, CZ-602 00 </w:t>
      </w:r>
      <w:r w:rsidRPr="00333CA6">
        <w:rPr>
          <w:rFonts w:ascii="Times New Roman" w:hAnsi="Times New Roman" w:cs="Times New Roman"/>
          <w:i/>
          <w:sz w:val="24"/>
          <w:szCs w:val="24"/>
        </w:rPr>
        <w:t xml:space="preserve">Brno, Czech Republic, </w:t>
      </w:r>
      <w:r>
        <w:rPr>
          <w:rFonts w:ascii="Times New Roman" w:hAnsi="Times New Roman" w:cs="Times New Roman"/>
          <w:i/>
          <w:sz w:val="24"/>
          <w:szCs w:val="24"/>
        </w:rPr>
        <w:br/>
      </w:r>
      <w:hyperlink r:id="rId5" w:history="1">
        <w:r w:rsidRPr="00EE3070">
          <w:rPr>
            <w:rStyle w:val="Hyperlink"/>
            <w:rFonts w:ascii="Times New Roman" w:hAnsi="Times New Roman"/>
            <w:i/>
            <w:sz w:val="24"/>
            <w:szCs w:val="24"/>
          </w:rPr>
          <w:t>liskova@iach.cz</w:t>
        </w:r>
      </w:hyperlink>
    </w:p>
    <w:p w:rsidR="00412C50" w:rsidRDefault="00412C50" w:rsidP="00412C50">
      <w:pPr>
        <w:spacing w:after="0" w:line="360" w:lineRule="auto"/>
        <w:jc w:val="center"/>
        <w:rPr>
          <w:rStyle w:val="null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333CA6">
        <w:rPr>
          <w:rStyle w:val="null"/>
          <w:rFonts w:ascii="Times New Roman" w:hAnsi="Times New Roman" w:cs="Times New Roman"/>
          <w:i/>
          <w:sz w:val="24"/>
          <w:szCs w:val="24"/>
        </w:rPr>
        <w:t xml:space="preserve">Centre for Syntheses at Sustainable Conditions and Their Management Department of Chemistry, Faculty of Science, Masaryk University, UKB, </w:t>
      </w:r>
      <w:proofErr w:type="spellStart"/>
      <w:r w:rsidRPr="00333CA6">
        <w:rPr>
          <w:rStyle w:val="null"/>
          <w:rFonts w:ascii="Times New Roman" w:hAnsi="Times New Roman" w:cs="Times New Roman"/>
          <w:i/>
          <w:sz w:val="24"/>
          <w:szCs w:val="24"/>
        </w:rPr>
        <w:t>Kamenice</w:t>
      </w:r>
      <w:proofErr w:type="spellEnd"/>
      <w:r w:rsidRPr="00333CA6">
        <w:rPr>
          <w:rStyle w:val="null"/>
          <w:rFonts w:ascii="Times New Roman" w:hAnsi="Times New Roman" w:cs="Times New Roman"/>
          <w:i/>
          <w:sz w:val="24"/>
          <w:szCs w:val="24"/>
        </w:rPr>
        <w:t xml:space="preserve"> 753/5, CZ-625 00 Brno, Czech Republi</w:t>
      </w:r>
      <w:r>
        <w:rPr>
          <w:rStyle w:val="null"/>
          <w:rFonts w:ascii="Times New Roman" w:hAnsi="Times New Roman" w:cs="Times New Roman"/>
          <w:i/>
          <w:sz w:val="24"/>
          <w:szCs w:val="24"/>
        </w:rPr>
        <w:t>c</w:t>
      </w:r>
    </w:p>
    <w:p w:rsidR="00D34639" w:rsidRDefault="00D34639">
      <w:bookmarkStart w:id="0" w:name="_GoBack"/>
      <w:bookmarkEnd w:id="0"/>
    </w:p>
    <w:p w:rsidR="007B79AF" w:rsidRPr="004673F0" w:rsidRDefault="006D6E40" w:rsidP="007B79AF">
      <w:pPr>
        <w:jc w:val="both"/>
        <w:rPr>
          <w:rFonts w:cs="Times New Roman"/>
          <w:lang w:val="en-GB"/>
        </w:rPr>
      </w:pPr>
      <w:r w:rsidRPr="004673F0">
        <w:rPr>
          <w:rFonts w:cs="Times New Roman"/>
        </w:rPr>
        <w:t xml:space="preserve">We will </w:t>
      </w:r>
      <w:r w:rsidRPr="004673F0">
        <w:rPr>
          <w:rFonts w:cs="Times New Roman"/>
        </w:rPr>
        <w:t>report a several methods for synthesis of immunofluorescence probes and affinity surfaces. We used quantum dots as a fluorescence affinity surface.</w:t>
      </w:r>
      <w:r w:rsidR="007B79AF" w:rsidRPr="004673F0">
        <w:rPr>
          <w:rFonts w:cs="Times New Roman"/>
        </w:rPr>
        <w:t xml:space="preserve"> </w:t>
      </w:r>
      <w:r w:rsidR="007B79AF" w:rsidRPr="004673F0">
        <w:rPr>
          <w:rFonts w:cs="Times New Roman"/>
          <w:lang w:val="en-GB"/>
        </w:rPr>
        <w:t xml:space="preserve">Quantum dots (QDs), semiconductor inorganic nanocrystals, show a great potential as </w:t>
      </w:r>
      <w:proofErr w:type="spellStart"/>
      <w:r w:rsidR="007B79AF" w:rsidRPr="004673F0">
        <w:rPr>
          <w:rFonts w:cs="Times New Roman"/>
          <w:lang w:val="en-GB"/>
        </w:rPr>
        <w:t>photoluminescent</w:t>
      </w:r>
      <w:proofErr w:type="spellEnd"/>
      <w:r w:rsidR="007B79AF" w:rsidRPr="004673F0">
        <w:rPr>
          <w:rFonts w:cs="Times New Roman"/>
          <w:lang w:val="en-GB"/>
        </w:rPr>
        <w:t xml:space="preserve"> probes at cellular level for in vivo </w:t>
      </w:r>
      <w:proofErr w:type="spellStart"/>
      <w:r w:rsidR="007B79AF" w:rsidRPr="004673F0">
        <w:rPr>
          <w:rFonts w:cs="Times New Roman"/>
          <w:lang w:val="en-GB"/>
        </w:rPr>
        <w:t>immunolabelling</w:t>
      </w:r>
      <w:proofErr w:type="spellEnd"/>
      <w:r w:rsidR="007B79AF" w:rsidRPr="004673F0">
        <w:rPr>
          <w:rFonts w:cs="Times New Roman"/>
          <w:lang w:val="en-GB"/>
        </w:rPr>
        <w:t xml:space="preserve"> or cellular tracking.  The main advantages of quantum dots, when compared with the conventional organic fluorescent dyes, are practically no </w:t>
      </w:r>
      <w:proofErr w:type="spellStart"/>
      <w:r w:rsidR="007B79AF" w:rsidRPr="004673F0">
        <w:rPr>
          <w:rFonts w:cs="Times New Roman"/>
          <w:lang w:val="en-GB"/>
        </w:rPr>
        <w:t>photobleaching</w:t>
      </w:r>
      <w:proofErr w:type="spellEnd"/>
      <w:r w:rsidR="007B79AF" w:rsidRPr="004673F0">
        <w:rPr>
          <w:rFonts w:cs="Times New Roman"/>
          <w:lang w:val="en-GB"/>
        </w:rPr>
        <w:t>, wide excitation and narrow emission spectra and size dependent emission maximum wavelengths. Typical materials for the preparation of quantum dots are elements of II – VI or III – V group. We have prepared water soluble QDs in the size range from 2.8 to 4.4 nm by the chemical reaction between CdCl</w:t>
      </w:r>
      <w:r w:rsidR="007B79AF" w:rsidRPr="004673F0">
        <w:rPr>
          <w:rFonts w:cs="Times New Roman"/>
          <w:vertAlign w:val="subscript"/>
          <w:lang w:val="en-GB"/>
        </w:rPr>
        <w:t>2</w:t>
      </w:r>
      <w:r w:rsidR="007B79AF" w:rsidRPr="004673F0">
        <w:rPr>
          <w:rFonts w:cs="Times New Roman"/>
          <w:lang w:val="en-GB"/>
        </w:rPr>
        <w:t xml:space="preserve"> and </w:t>
      </w:r>
      <w:proofErr w:type="spellStart"/>
      <w:r w:rsidR="007B79AF" w:rsidRPr="004673F0">
        <w:rPr>
          <w:rFonts w:cs="Times New Roman"/>
          <w:lang w:val="en-GB"/>
        </w:rPr>
        <w:t>NaHTe</w:t>
      </w:r>
      <w:proofErr w:type="spellEnd"/>
      <w:r w:rsidR="007B79AF" w:rsidRPr="004673F0">
        <w:rPr>
          <w:rFonts w:cs="Times New Roman"/>
          <w:lang w:val="en-GB"/>
        </w:rPr>
        <w:t xml:space="preserve"> with 3-mercaptopropionic acid (MPA) as a hydrophilic surface ligand. To reduce their cytotoxicity, QDs are coated by two epitaxial layers of </w:t>
      </w:r>
      <w:proofErr w:type="spellStart"/>
      <w:r w:rsidR="007B79AF" w:rsidRPr="004673F0">
        <w:rPr>
          <w:rFonts w:cs="Times New Roman"/>
          <w:lang w:val="en-GB"/>
        </w:rPr>
        <w:t>CdS</w:t>
      </w:r>
      <w:proofErr w:type="spellEnd"/>
      <w:r w:rsidR="007B79AF" w:rsidRPr="004673F0">
        <w:rPr>
          <w:rFonts w:cs="Times New Roman"/>
          <w:lang w:val="en-GB"/>
        </w:rPr>
        <w:t xml:space="preserve"> and </w:t>
      </w:r>
      <w:proofErr w:type="spellStart"/>
      <w:r w:rsidR="007B79AF" w:rsidRPr="004673F0">
        <w:rPr>
          <w:rFonts w:cs="Times New Roman"/>
          <w:lang w:val="en-GB"/>
        </w:rPr>
        <w:t>ZnS</w:t>
      </w:r>
      <w:proofErr w:type="spellEnd"/>
      <w:r w:rsidR="007B79AF" w:rsidRPr="004673F0">
        <w:rPr>
          <w:rFonts w:cs="Times New Roman"/>
          <w:lang w:val="en-GB"/>
        </w:rPr>
        <w:t>.</w:t>
      </w:r>
    </w:p>
    <w:p w:rsidR="007E275B" w:rsidRPr="004673F0" w:rsidRDefault="007E275B" w:rsidP="007E275B">
      <w:pPr>
        <w:jc w:val="both"/>
        <w:rPr>
          <w:rFonts w:cs="Times New Roman"/>
          <w:lang w:val="en-GB"/>
        </w:rPr>
      </w:pPr>
      <w:r w:rsidRPr="004673F0">
        <w:rPr>
          <w:rFonts w:cs="Times New Roman"/>
          <w:lang w:val="en-GB"/>
        </w:rPr>
        <w:t xml:space="preserve">For the preparation of conjugates, it is possible to use a lot of conjugation procedures with variety of cross-linkers. Their role is to bind different functional groups attached to QDs with those present in biologically important molecules. We have used the conjugation reaction via zero-length cross-linkers such as 1-ethyl-3-(3-dimethyl-3-aminopropyl) </w:t>
      </w:r>
      <w:proofErr w:type="spellStart"/>
      <w:r w:rsidRPr="004673F0">
        <w:rPr>
          <w:rFonts w:cs="Times New Roman"/>
          <w:lang w:val="en-GB"/>
        </w:rPr>
        <w:t>carbodiimide</w:t>
      </w:r>
      <w:proofErr w:type="spellEnd"/>
      <w:r w:rsidRPr="004673F0">
        <w:rPr>
          <w:rFonts w:cs="Times New Roman"/>
          <w:lang w:val="en-GB"/>
        </w:rPr>
        <w:t xml:space="preserve"> hydrochloride and </w:t>
      </w:r>
      <w:r w:rsidRPr="004673F0">
        <w:rPr>
          <w:rFonts w:cs="Times New Roman"/>
          <w:i/>
          <w:iCs/>
          <w:lang w:val="en-GB"/>
        </w:rPr>
        <w:t>N</w:t>
      </w:r>
      <w:r w:rsidRPr="004673F0">
        <w:rPr>
          <w:rFonts w:cs="Times New Roman"/>
          <w:i/>
          <w:lang w:val="en-GB"/>
        </w:rPr>
        <w:t>-</w:t>
      </w:r>
      <w:proofErr w:type="spellStart"/>
      <w:r w:rsidRPr="004673F0">
        <w:rPr>
          <w:rFonts w:cs="Times New Roman"/>
          <w:lang w:val="en-GB"/>
        </w:rPr>
        <w:t>hydroxysulfosuccinimide</w:t>
      </w:r>
      <w:proofErr w:type="spellEnd"/>
      <w:r w:rsidRPr="004673F0">
        <w:rPr>
          <w:rFonts w:cs="Times New Roman"/>
          <w:lang w:val="en-GB"/>
        </w:rPr>
        <w:t xml:space="preserve"> for bonding </w:t>
      </w:r>
      <w:proofErr w:type="spellStart"/>
      <w:r w:rsidRPr="004673F0">
        <w:rPr>
          <w:rFonts w:cs="Times New Roman"/>
          <w:lang w:val="en-GB"/>
        </w:rPr>
        <w:t>carboxylated</w:t>
      </w:r>
      <w:proofErr w:type="spellEnd"/>
      <w:r w:rsidRPr="004673F0">
        <w:rPr>
          <w:rFonts w:cs="Times New Roman"/>
          <w:lang w:val="en-GB"/>
        </w:rPr>
        <w:t xml:space="preserve"> QDs and proteins (especially antibodies). The formation of conjugate is checked by capillary zone electrophoresis with laser-induced fluorescence detection. We have found optimal conditions for the separation of the conjugate, </w:t>
      </w:r>
      <w:proofErr w:type="spellStart"/>
      <w:r w:rsidRPr="004673F0">
        <w:rPr>
          <w:rFonts w:cs="Times New Roman"/>
          <w:lang w:val="en-GB"/>
        </w:rPr>
        <w:t>immunocomplex</w:t>
      </w:r>
      <w:proofErr w:type="spellEnd"/>
      <w:r w:rsidRPr="004673F0">
        <w:rPr>
          <w:rFonts w:cs="Times New Roman"/>
          <w:lang w:val="en-GB"/>
        </w:rPr>
        <w:t xml:space="preserve"> and QDs.</w:t>
      </w:r>
    </w:p>
    <w:p w:rsidR="007E275B" w:rsidRPr="004673F0" w:rsidRDefault="007E275B" w:rsidP="007E275B">
      <w:pPr>
        <w:jc w:val="both"/>
        <w:rPr>
          <w:rFonts w:cs="Times New Roman"/>
          <w:lang w:val="en-GB"/>
        </w:rPr>
      </w:pPr>
      <w:r w:rsidRPr="004673F0">
        <w:rPr>
          <w:rFonts w:cs="Times New Roman"/>
          <w:lang w:val="en-GB"/>
        </w:rPr>
        <w:t>Non-coated and double coated QDs are conjugated with various proteins such as antibody to p</w:t>
      </w:r>
      <w:r w:rsidRPr="004673F0">
        <w:rPr>
          <w:rFonts w:cs="Times New Roman"/>
          <w:bCs/>
          <w:lang w:val="en-GB"/>
        </w:rPr>
        <w:t>roliferating cell nuclear antigen (anti-PCNA)</w:t>
      </w:r>
      <w:r w:rsidRPr="004673F0">
        <w:rPr>
          <w:rFonts w:cs="Times New Roman"/>
          <w:lang w:val="en-GB"/>
        </w:rPr>
        <w:t xml:space="preserve">, </w:t>
      </w:r>
      <w:r w:rsidRPr="004673F0">
        <w:rPr>
          <w:rFonts w:cs="Times New Roman"/>
          <w:bCs/>
          <w:lang w:val="en-GB"/>
        </w:rPr>
        <w:t xml:space="preserve">anti-chicken egg albumin, </w:t>
      </w:r>
      <w:r w:rsidRPr="004673F0">
        <w:rPr>
          <w:rFonts w:cs="Times New Roman"/>
          <w:lang w:val="en-GB"/>
        </w:rPr>
        <w:t xml:space="preserve">anti-CD3 membrane protein and </w:t>
      </w:r>
      <w:proofErr w:type="spellStart"/>
      <w:r w:rsidRPr="004673F0">
        <w:rPr>
          <w:rFonts w:cs="Times New Roman"/>
          <w:bCs/>
          <w:lang w:val="en-GB"/>
        </w:rPr>
        <w:t>annexin</w:t>
      </w:r>
      <w:proofErr w:type="spellEnd"/>
      <w:r w:rsidRPr="004673F0">
        <w:rPr>
          <w:rFonts w:cs="Times New Roman"/>
          <w:bCs/>
          <w:lang w:val="en-GB"/>
        </w:rPr>
        <w:t xml:space="preserve"> V.</w:t>
      </w:r>
      <w:r w:rsidRPr="004673F0">
        <w:rPr>
          <w:rFonts w:cs="Times New Roman"/>
          <w:lang w:val="en-GB"/>
        </w:rPr>
        <w:t xml:space="preserve"> Antibodies labelled with QDs are applied as fluorescent probes for the detection of various antigens in</w:t>
      </w:r>
      <w:r w:rsidRPr="004673F0">
        <w:rPr>
          <w:rFonts w:cs="Times New Roman"/>
          <w:bCs/>
          <w:lang w:val="en-GB"/>
        </w:rPr>
        <w:t xml:space="preserve"> cancer cells and apoptotic mouse intestine and human lymphocyte cells. </w:t>
      </w:r>
      <w:proofErr w:type="spellStart"/>
      <w:r w:rsidRPr="004673F0">
        <w:rPr>
          <w:rFonts w:cs="Times New Roman"/>
          <w:bCs/>
          <w:lang w:val="en-GB"/>
        </w:rPr>
        <w:t>E</w:t>
      </w:r>
      <w:r w:rsidRPr="004673F0">
        <w:rPr>
          <w:rFonts w:cs="Times New Roman"/>
          <w:lang w:val="en-GB"/>
        </w:rPr>
        <w:t>pifluorescence</w:t>
      </w:r>
      <w:proofErr w:type="spellEnd"/>
      <w:r w:rsidRPr="004673F0">
        <w:rPr>
          <w:rFonts w:cs="Times New Roman"/>
          <w:lang w:val="en-GB"/>
        </w:rPr>
        <w:t xml:space="preserve"> microscopy with excitation by </w:t>
      </w:r>
      <w:r w:rsidRPr="004673F0">
        <w:rPr>
          <w:rFonts w:cs="Times New Roman"/>
          <w:bCs/>
          <w:lang w:val="en-GB"/>
        </w:rPr>
        <w:t>using mercury arc lamp (460-550 nm)</w:t>
      </w:r>
      <w:r w:rsidRPr="004673F0">
        <w:rPr>
          <w:rFonts w:cs="Times New Roman"/>
          <w:lang w:val="en-GB"/>
        </w:rPr>
        <w:t xml:space="preserve"> and total internal reflection </w:t>
      </w:r>
      <w:r w:rsidRPr="004673F0">
        <w:rPr>
          <w:rFonts w:cs="Times New Roman"/>
          <w:lang w:val="en-GB"/>
        </w:rPr>
        <w:lastRenderedPageBreak/>
        <w:t xml:space="preserve">fluorescence microscopy with </w:t>
      </w:r>
      <w:proofErr w:type="spellStart"/>
      <w:r w:rsidRPr="004673F0">
        <w:rPr>
          <w:rFonts w:cs="Times New Roman"/>
          <w:lang w:val="en-GB"/>
        </w:rPr>
        <w:t>Nd</w:t>
      </w:r>
      <w:proofErr w:type="gramStart"/>
      <w:r w:rsidRPr="004673F0">
        <w:rPr>
          <w:rFonts w:cs="Times New Roman"/>
          <w:lang w:val="en-GB"/>
        </w:rPr>
        <w:t>:YAG</w:t>
      </w:r>
      <w:proofErr w:type="spellEnd"/>
      <w:proofErr w:type="gramEnd"/>
      <w:r w:rsidRPr="004673F0">
        <w:rPr>
          <w:rFonts w:cs="Times New Roman"/>
          <w:lang w:val="en-GB"/>
        </w:rPr>
        <w:t xml:space="preserve"> laser (532 nm)</w:t>
      </w:r>
      <w:r w:rsidRPr="004673F0">
        <w:rPr>
          <w:rFonts w:cs="Times New Roman"/>
          <w:bCs/>
          <w:lang w:val="en-GB"/>
        </w:rPr>
        <w:t xml:space="preserve"> are used as a high sensitivity detection instrumentation</w:t>
      </w:r>
      <w:r w:rsidRPr="004673F0">
        <w:rPr>
          <w:rFonts w:cs="Times New Roman"/>
          <w:lang w:val="en-GB"/>
        </w:rPr>
        <w:t>.</w:t>
      </w:r>
    </w:p>
    <w:p w:rsidR="004673F0" w:rsidRPr="004673F0" w:rsidRDefault="00D337E6" w:rsidP="004673F0">
      <w:pPr>
        <w:jc w:val="both"/>
      </w:pPr>
      <w:r w:rsidRPr="004673F0">
        <w:rPr>
          <w:rFonts w:cs="Arial"/>
        </w:rPr>
        <w:t>Finally, we will report</w:t>
      </w:r>
      <w:r w:rsidR="004673F0" w:rsidRPr="004673F0">
        <w:rPr>
          <w:rFonts w:cs="Arial"/>
        </w:rPr>
        <w:t xml:space="preserve"> about Caspase-3 determination. </w:t>
      </w:r>
      <w:r w:rsidR="004673F0" w:rsidRPr="004673F0">
        <w:t xml:space="preserve">Caspase 3, a </w:t>
      </w:r>
      <w:r w:rsidR="004673F0" w:rsidRPr="004673F0">
        <w:rPr>
          <w:bCs/>
        </w:rPr>
        <w:t>c</w:t>
      </w:r>
      <w:r w:rsidR="004673F0" w:rsidRPr="004673F0">
        <w:t>ysteine-</w:t>
      </w:r>
      <w:r w:rsidR="004673F0" w:rsidRPr="004673F0">
        <w:rPr>
          <w:bCs/>
        </w:rPr>
        <w:t>asp</w:t>
      </w:r>
      <w:r w:rsidR="004673F0" w:rsidRPr="004673F0">
        <w:t>artic acid prote</w:t>
      </w:r>
      <w:r w:rsidR="004673F0" w:rsidRPr="004673F0">
        <w:rPr>
          <w:bCs/>
        </w:rPr>
        <w:t>ase</w:t>
      </w:r>
      <w:r w:rsidR="004673F0" w:rsidRPr="004673F0">
        <w:t xml:space="preserve"> activated in the apoptotic pathway, plays an essential role in the programmed cell death. Moreover, failure of apoptosis is one of the main contributions to </w:t>
      </w:r>
      <w:hyperlink r:id="rId6" w:tooltip="Tumour" w:history="1">
        <w:r w:rsidR="004673F0" w:rsidRPr="004673F0">
          <w:rPr>
            <w:rStyle w:val="Hyperlink"/>
            <w:color w:val="auto"/>
            <w:u w:val="none"/>
          </w:rPr>
          <w:t>tumor</w:t>
        </w:r>
      </w:hyperlink>
      <w:r w:rsidR="004673F0" w:rsidRPr="004673F0">
        <w:t xml:space="preserve"> development. Under normal circumstances, caspases recognize tetra-peptide sequences Asp-x-x-Asp on their </w:t>
      </w:r>
      <w:hyperlink r:id="rId7" w:tooltip="Substrates" w:history="1">
        <w:r w:rsidR="004673F0" w:rsidRPr="004673F0">
          <w:rPr>
            <w:rStyle w:val="Hyperlink"/>
            <w:color w:val="auto"/>
            <w:u w:val="none"/>
          </w:rPr>
          <w:t>substrates</w:t>
        </w:r>
      </w:hyperlink>
      <w:r w:rsidR="004673F0" w:rsidRPr="004673F0">
        <w:t xml:space="preserve"> and </w:t>
      </w:r>
      <w:hyperlink r:id="rId8" w:tooltip="Hydrolyze" w:history="1">
        <w:r w:rsidR="004673F0" w:rsidRPr="004673F0">
          <w:rPr>
            <w:rStyle w:val="Hyperlink"/>
            <w:color w:val="auto"/>
            <w:u w:val="none"/>
          </w:rPr>
          <w:t>hydrolyze</w:t>
        </w:r>
      </w:hyperlink>
      <w:r w:rsidR="004673F0" w:rsidRPr="004673F0">
        <w:t xml:space="preserve"> peptide bonds after </w:t>
      </w:r>
      <w:hyperlink r:id="rId9" w:history="1">
        <w:r w:rsidR="004673F0" w:rsidRPr="004673F0">
          <w:rPr>
            <w:rStyle w:val="Hyperlink"/>
            <w:color w:val="auto"/>
            <w:u w:val="none"/>
          </w:rPr>
          <w:t>aspartic acid</w:t>
        </w:r>
      </w:hyperlink>
      <w:r w:rsidR="004673F0" w:rsidRPr="004673F0">
        <w:t xml:space="preserve"> residues. It is known from literature that in one apoptotic cell about 1.6×10</w:t>
      </w:r>
      <w:r w:rsidR="004673F0" w:rsidRPr="004673F0">
        <w:rPr>
          <w:vertAlign w:val="superscript"/>
        </w:rPr>
        <w:t>-19</w:t>
      </w:r>
      <w:r w:rsidR="004673F0" w:rsidRPr="004673F0">
        <w:t xml:space="preserve"> </w:t>
      </w:r>
      <w:proofErr w:type="spellStart"/>
      <w:r w:rsidR="004673F0" w:rsidRPr="004673F0">
        <w:t>mol</w:t>
      </w:r>
      <w:proofErr w:type="spellEnd"/>
      <w:r w:rsidR="004673F0" w:rsidRPr="004673F0">
        <w:t xml:space="preserve"> of Caspase can be activated. Various techniques for the determination of Caspase 3 in free cells or tissue samples are commercially available. While the Caspase concentration is determined by Enzyme-Linked </w:t>
      </w:r>
      <w:proofErr w:type="spellStart"/>
      <w:r w:rsidR="004673F0" w:rsidRPr="004673F0">
        <w:t>Immunosorbent</w:t>
      </w:r>
      <w:proofErr w:type="spellEnd"/>
      <w:r w:rsidR="004673F0" w:rsidRPr="004673F0">
        <w:t xml:space="preserve"> Assays (ELISA) with colorimetric detection, its activity is usually assayed by a </w:t>
      </w:r>
      <w:proofErr w:type="spellStart"/>
      <w:r w:rsidR="004673F0" w:rsidRPr="004673F0">
        <w:t>chemiluminescence</w:t>
      </w:r>
      <w:proofErr w:type="spellEnd"/>
      <w:r w:rsidR="004673F0" w:rsidRPr="004673F0">
        <w:t xml:space="preserve"> reaction. The best commercial methods reach the limit o detection higher than 1pg of Caspase 3. </w:t>
      </w:r>
    </w:p>
    <w:p w:rsidR="004673F0" w:rsidRPr="004673F0" w:rsidRDefault="004673F0" w:rsidP="004673F0">
      <w:pPr>
        <w:jc w:val="both"/>
      </w:pPr>
      <w:r w:rsidRPr="004673F0">
        <w:t xml:space="preserve">We have developed a special device for the determination of Caspase concentration or activity in </w:t>
      </w:r>
      <w:proofErr w:type="spellStart"/>
      <w:r w:rsidRPr="004673F0">
        <w:t>microdissected</w:t>
      </w:r>
      <w:proofErr w:type="spellEnd"/>
      <w:r w:rsidRPr="004673F0">
        <w:t xml:space="preserve"> cells: (</w:t>
      </w:r>
      <w:proofErr w:type="spellStart"/>
      <w:r w:rsidRPr="004673F0">
        <w:t>i</w:t>
      </w:r>
      <w:proofErr w:type="spellEnd"/>
      <w:r w:rsidRPr="004673F0">
        <w:t xml:space="preserve">) </w:t>
      </w:r>
      <w:proofErr w:type="gramStart"/>
      <w:r w:rsidRPr="004673F0">
        <w:t>The</w:t>
      </w:r>
      <w:proofErr w:type="gramEnd"/>
      <w:r w:rsidRPr="004673F0">
        <w:t xml:space="preserve"> concentration is determined by ELISA assay with </w:t>
      </w:r>
      <w:proofErr w:type="spellStart"/>
      <w:r w:rsidRPr="004673F0">
        <w:t>chemiluminescence</w:t>
      </w:r>
      <w:proofErr w:type="spellEnd"/>
      <w:r w:rsidRPr="004673F0">
        <w:t xml:space="preserve"> detection. In this technique, a monoclonal antibody immobilized on the device wall interacts with a Caspase 3 epitope. Then, a polyclonal antibody labeled by horse radish peroxidase binds another Caspase epitope. The presence of this </w:t>
      </w:r>
      <w:proofErr w:type="spellStart"/>
      <w:r w:rsidRPr="004673F0">
        <w:t>antigene</w:t>
      </w:r>
      <w:proofErr w:type="spellEnd"/>
      <w:r w:rsidRPr="004673F0">
        <w:t xml:space="preserve"> is detected as a </w:t>
      </w:r>
      <w:proofErr w:type="spellStart"/>
      <w:r w:rsidRPr="004673F0">
        <w:t>chemiluminescence</w:t>
      </w:r>
      <w:proofErr w:type="spellEnd"/>
      <w:r w:rsidRPr="004673F0">
        <w:t xml:space="preserve"> signal after the addition of a mixture of </w:t>
      </w:r>
      <w:proofErr w:type="spellStart"/>
      <w:r w:rsidRPr="004673F0">
        <w:t>luminol</w:t>
      </w:r>
      <w:proofErr w:type="spellEnd"/>
      <w:r w:rsidRPr="004673F0">
        <w:t xml:space="preserve"> with </w:t>
      </w:r>
      <w:proofErr w:type="spellStart"/>
      <w:r w:rsidRPr="004673F0">
        <w:t>hydrogenperoxide</w:t>
      </w:r>
      <w:proofErr w:type="spellEnd"/>
      <w:r w:rsidRPr="004673F0">
        <w:t xml:space="preserve">. (ii) The activity of Caspase 3 is determined by the system based on </w:t>
      </w:r>
      <w:proofErr w:type="spellStart"/>
      <w:r w:rsidRPr="004673F0">
        <w:t>Luciferin</w:t>
      </w:r>
      <w:proofErr w:type="spellEnd"/>
      <w:r w:rsidRPr="004673F0">
        <w:t xml:space="preserve">/Luciferase </w:t>
      </w:r>
      <w:proofErr w:type="spellStart"/>
      <w:r w:rsidRPr="004673F0">
        <w:t>chemiluminescence</w:t>
      </w:r>
      <w:proofErr w:type="spellEnd"/>
      <w:r w:rsidRPr="004673F0">
        <w:t xml:space="preserve"> reaction. The </w:t>
      </w:r>
      <w:proofErr w:type="spellStart"/>
      <w:r w:rsidRPr="004673F0">
        <w:t>luciferin</w:t>
      </w:r>
      <w:proofErr w:type="spellEnd"/>
      <w:r w:rsidRPr="004673F0">
        <w:t xml:space="preserve"> modified with </w:t>
      </w:r>
      <w:proofErr w:type="spellStart"/>
      <w:r w:rsidRPr="004673F0">
        <w:t>tetrapeptide</w:t>
      </w:r>
      <w:proofErr w:type="spellEnd"/>
      <w:r w:rsidRPr="004673F0">
        <w:t xml:space="preserve"> sequence (DEVD) specific to the recognition for Caspase-3 is cleaved to form free </w:t>
      </w:r>
      <w:proofErr w:type="spellStart"/>
      <w:r w:rsidRPr="004673F0">
        <w:t>luciferin</w:t>
      </w:r>
      <w:proofErr w:type="spellEnd"/>
      <w:r w:rsidRPr="004673F0">
        <w:t xml:space="preserve">, which immediately reacts with luciferase to produce light. Our detection device consists of a microfluidic chamber held inside a housing of photomultiplier tube (Hamamatsu R446) with spectral response 185-870 nm. The cell is accessible by a Hamilton syringe fixed in a light-proof cassette. The sensitivity of the device proved to be by one order of magnitude better than the commercially available technologies. </w:t>
      </w:r>
    </w:p>
    <w:p w:rsidR="00261DE3" w:rsidRPr="00AA3CF6" w:rsidRDefault="00261DE3" w:rsidP="007E275B">
      <w:pPr>
        <w:jc w:val="both"/>
        <w:rPr>
          <w:b/>
          <w:szCs w:val="24"/>
          <w:lang w:val="en-GB"/>
        </w:rPr>
      </w:pPr>
    </w:p>
    <w:p w:rsidR="00D34639" w:rsidRPr="00D34639" w:rsidRDefault="00D34639"/>
    <w:sectPr w:rsidR="00D34639" w:rsidRPr="00D34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39"/>
    <w:rsid w:val="00261DE3"/>
    <w:rsid w:val="00412C50"/>
    <w:rsid w:val="004673F0"/>
    <w:rsid w:val="00590B13"/>
    <w:rsid w:val="006D6E40"/>
    <w:rsid w:val="0075312A"/>
    <w:rsid w:val="007B79AF"/>
    <w:rsid w:val="007E275B"/>
    <w:rsid w:val="00D337E6"/>
    <w:rsid w:val="00D3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73F0"/>
    <w:rPr>
      <w:color w:val="0000FF"/>
      <w:u w:val="single"/>
    </w:rPr>
  </w:style>
  <w:style w:type="character" w:customStyle="1" w:styleId="null">
    <w:name w:val="null"/>
    <w:basedOn w:val="DefaultParagraphFont"/>
    <w:rsid w:val="00412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73F0"/>
    <w:rPr>
      <w:color w:val="0000FF"/>
      <w:u w:val="single"/>
    </w:rPr>
  </w:style>
  <w:style w:type="character" w:customStyle="1" w:styleId="null">
    <w:name w:val="null"/>
    <w:basedOn w:val="DefaultParagraphFont"/>
    <w:rsid w:val="00412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Hydrolyz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Substrat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Tumou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skova@iach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Aspartic_ac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liskova</dc:creator>
  <cp:lastModifiedBy>liskova</cp:lastModifiedBy>
  <cp:revision>5</cp:revision>
  <dcterms:created xsi:type="dcterms:W3CDTF">2015-02-17T16:08:00Z</dcterms:created>
  <dcterms:modified xsi:type="dcterms:W3CDTF">2015-02-17T16:55:00Z</dcterms:modified>
</cp:coreProperties>
</file>