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9E" w:rsidRDefault="0060029E" w:rsidP="008B0884">
      <w:pPr>
        <w:pStyle w:val="Bezmezer"/>
        <w:rPr>
          <w:rFonts w:ascii="Tekton Pro Ext" w:hAnsi="Tekton Pro Ext"/>
          <w:lang w:eastAsia="cs-CZ"/>
        </w:rPr>
      </w:pPr>
      <w:r>
        <w:rPr>
          <w:rFonts w:ascii="Tekton Pro Ext" w:hAnsi="Tekton Pro Ext"/>
          <w:lang w:eastAsia="cs-CZ"/>
        </w:rPr>
        <w:t xml:space="preserve">Geografický ústav </w:t>
      </w:r>
      <w:proofErr w:type="spellStart"/>
      <w:r>
        <w:rPr>
          <w:rFonts w:ascii="Tekton Pro Ext" w:hAnsi="Tekton Pro Ext"/>
          <w:lang w:eastAsia="cs-CZ"/>
        </w:rPr>
        <w:t>Přír.fak</w:t>
      </w:r>
      <w:proofErr w:type="spellEnd"/>
      <w:r>
        <w:rPr>
          <w:rFonts w:ascii="Tekton Pro Ext" w:hAnsi="Tekton Pro Ext"/>
          <w:lang w:eastAsia="cs-CZ"/>
        </w:rPr>
        <w:t xml:space="preserve">. </w:t>
      </w:r>
      <w:proofErr w:type="gramStart"/>
      <w:r>
        <w:rPr>
          <w:rFonts w:ascii="Tekton Pro Ext" w:hAnsi="Tekton Pro Ext"/>
          <w:lang w:eastAsia="cs-CZ"/>
        </w:rPr>
        <w:t>MU</w:t>
      </w:r>
      <w:proofErr w:type="gramEnd"/>
      <w:r>
        <w:rPr>
          <w:rFonts w:ascii="Tekton Pro Ext" w:hAnsi="Tekton Pro Ext"/>
          <w:lang w:eastAsia="cs-CZ"/>
        </w:rPr>
        <w:t xml:space="preserve"> Brno</w:t>
      </w:r>
    </w:p>
    <w:p w:rsidR="008B0884" w:rsidRPr="008B0884" w:rsidRDefault="008B0884" w:rsidP="008B0884">
      <w:pPr>
        <w:pStyle w:val="Bezmezer"/>
        <w:rPr>
          <w:rFonts w:ascii="Tekton Pro Ext" w:hAnsi="Tekton Pro Ext"/>
          <w:lang w:eastAsia="cs-CZ"/>
        </w:rPr>
      </w:pPr>
      <w:r w:rsidRPr="008B0884">
        <w:rPr>
          <w:rFonts w:ascii="Tekton Pro Ext" w:hAnsi="Tekton Pro Ext"/>
          <w:lang w:eastAsia="cs-CZ"/>
        </w:rPr>
        <w:t>Z0132 Urbánní a rurální studia (jaro 2015)</w:t>
      </w:r>
    </w:p>
    <w:p w:rsidR="008B0884" w:rsidRPr="008B0884" w:rsidRDefault="008B0884" w:rsidP="008B0884">
      <w:pPr>
        <w:pStyle w:val="Bezmezer"/>
        <w:rPr>
          <w:rFonts w:ascii="Tekton Pro Ext" w:hAnsi="Tekton Pro Ext"/>
          <w:lang w:eastAsia="cs-CZ"/>
        </w:rPr>
      </w:pPr>
      <w:r w:rsidRPr="008B0884">
        <w:rPr>
          <w:rFonts w:ascii="Tekton Pro Ext" w:hAnsi="Tekton Pro Ext"/>
          <w:lang w:eastAsia="cs-CZ"/>
        </w:rPr>
        <w:t xml:space="preserve">Přednáška: </w:t>
      </w:r>
      <w:proofErr w:type="spellStart"/>
      <w:proofErr w:type="gramStart"/>
      <w:r w:rsidRPr="008B0884">
        <w:rPr>
          <w:rFonts w:ascii="Tekton Pro Ext" w:hAnsi="Tekton Pro Ext"/>
          <w:lang w:eastAsia="cs-CZ"/>
        </w:rPr>
        <w:t>A.Hynek</w:t>
      </w:r>
      <w:proofErr w:type="spellEnd"/>
      <w:proofErr w:type="gramEnd"/>
    </w:p>
    <w:p w:rsidR="0060029E" w:rsidRDefault="008B0884" w:rsidP="0060029E">
      <w:pPr>
        <w:pStyle w:val="Bezmezer"/>
        <w:rPr>
          <w:rFonts w:ascii="Tekton Pro Ext" w:hAnsi="Tekton Pro Ext"/>
          <w:lang w:eastAsia="cs-CZ"/>
        </w:rPr>
      </w:pPr>
      <w:r w:rsidRPr="0060029E">
        <w:rPr>
          <w:rFonts w:ascii="Tekton Pro Ext" w:hAnsi="Tekton Pro Ext"/>
          <w:lang w:eastAsia="cs-CZ"/>
        </w:rPr>
        <w:t xml:space="preserve">Cvičení: </w:t>
      </w:r>
      <w:proofErr w:type="spellStart"/>
      <w:proofErr w:type="gramStart"/>
      <w:r w:rsidRPr="0060029E">
        <w:rPr>
          <w:rFonts w:ascii="Tekton Pro Ext" w:hAnsi="Tekton Pro Ext"/>
          <w:lang w:eastAsia="cs-CZ"/>
        </w:rPr>
        <w:t>G.Novotný</w:t>
      </w:r>
      <w:proofErr w:type="spellEnd"/>
      <w:proofErr w:type="gramEnd"/>
    </w:p>
    <w:p w:rsidR="008B0884" w:rsidRPr="0060029E" w:rsidRDefault="008B0884" w:rsidP="0060029E">
      <w:pPr>
        <w:pStyle w:val="Bezmezer"/>
        <w:rPr>
          <w:rFonts w:ascii="Tekton Pro Ext" w:hAnsi="Tekton Pro Ext"/>
          <w:lang w:eastAsia="cs-CZ"/>
        </w:rPr>
      </w:pPr>
      <w:r w:rsidRPr="0060029E">
        <w:rPr>
          <w:rFonts w:ascii="Tekton Pro Ext" w:hAnsi="Tekton Pro Ext"/>
          <w:lang w:eastAsia="cs-CZ"/>
        </w:rPr>
        <w:t>Projektová výuka na téma:</w:t>
      </w:r>
    </w:p>
    <w:p w:rsidR="00152348" w:rsidRPr="004F72E2" w:rsidRDefault="008B0884" w:rsidP="008B0884">
      <w:pPr>
        <w:pStyle w:val="Bezmezer"/>
        <w:rPr>
          <w:rFonts w:ascii="Tekton Pro Ext" w:hAnsi="Tekton Pro Ext"/>
          <w:b/>
          <w:u w:val="single"/>
          <w:lang w:eastAsia="cs-CZ"/>
        </w:rPr>
      </w:pPr>
      <w:r w:rsidRPr="004F72E2">
        <w:rPr>
          <w:rFonts w:ascii="Tekton Pro Ext" w:hAnsi="Tekton Pro Ext"/>
          <w:b/>
          <w:u w:val="single"/>
        </w:rPr>
        <w:t>Urbánně-rurální hybridita: prostorová spojitost/nexus</w:t>
      </w:r>
    </w:p>
    <w:p w:rsidR="008B0884" w:rsidRPr="008B0884" w:rsidRDefault="008B0884" w:rsidP="00152348">
      <w:pPr>
        <w:pStyle w:val="Bezmezer"/>
        <w:rPr>
          <w:rFonts w:ascii="Tekton Pro Ext" w:hAnsi="Tekton Pro Ext"/>
        </w:rPr>
      </w:pPr>
      <w:r w:rsidRPr="008B0884">
        <w:rPr>
          <w:rFonts w:ascii="Tekton Pro Ext" w:hAnsi="Tekton Pro Ext"/>
        </w:rPr>
        <w:t>Urban-</w:t>
      </w:r>
      <w:proofErr w:type="spellStart"/>
      <w:r w:rsidRPr="008B0884">
        <w:rPr>
          <w:rFonts w:ascii="Tekton Pro Ext" w:hAnsi="Tekton Pro Ext"/>
        </w:rPr>
        <w:t>rural</w:t>
      </w:r>
      <w:proofErr w:type="spellEnd"/>
      <w:r w:rsidRPr="008B0884">
        <w:rPr>
          <w:rFonts w:ascii="Tekton Pro Ext" w:hAnsi="Tekton Pro Ext"/>
        </w:rPr>
        <w:t xml:space="preserve"> hybridity: </w:t>
      </w:r>
      <w:proofErr w:type="spellStart"/>
      <w:r w:rsidRPr="008B0884">
        <w:rPr>
          <w:rFonts w:ascii="Tekton Pro Ext" w:hAnsi="Tekton Pro Ext"/>
        </w:rPr>
        <w:t>the</w:t>
      </w:r>
      <w:proofErr w:type="spellEnd"/>
      <w:r w:rsidRPr="008B0884">
        <w:rPr>
          <w:rFonts w:ascii="Tekton Pro Ext" w:hAnsi="Tekton Pro Ext"/>
        </w:rPr>
        <w:t xml:space="preserve"> </w:t>
      </w:r>
      <w:proofErr w:type="spellStart"/>
      <w:r w:rsidRPr="008B0884">
        <w:rPr>
          <w:rFonts w:ascii="Tekton Pro Ext" w:hAnsi="Tekton Pro Ext"/>
        </w:rPr>
        <w:t>spatial</w:t>
      </w:r>
      <w:proofErr w:type="spellEnd"/>
      <w:r w:rsidRPr="008B0884">
        <w:rPr>
          <w:rFonts w:ascii="Tekton Pro Ext" w:hAnsi="Tekton Pro Ext"/>
        </w:rPr>
        <w:t xml:space="preserve"> nexus</w:t>
      </w:r>
    </w:p>
    <w:p w:rsidR="00152348" w:rsidRDefault="00152348" w:rsidP="008B0884">
      <w:pPr>
        <w:pStyle w:val="Bezmezer"/>
        <w:rPr>
          <w:rFonts w:ascii="Tekton Pro Ext" w:hAnsi="Tekton Pro Ext"/>
          <w:szCs w:val="24"/>
        </w:rPr>
      </w:pPr>
      <w:proofErr w:type="spellStart"/>
      <w:r w:rsidRPr="0060029E">
        <w:rPr>
          <w:rFonts w:ascii="Tekton Pro Ext" w:hAnsi="Tekton Pro Ext"/>
          <w:szCs w:val="24"/>
        </w:rPr>
        <w:t>hyperurban</w:t>
      </w:r>
      <w:r w:rsidR="008B0884" w:rsidRPr="0060029E">
        <w:rPr>
          <w:rFonts w:ascii="Arial" w:hAnsi="Arial" w:cs="Arial"/>
          <w:szCs w:val="24"/>
        </w:rPr>
        <w:t>→</w:t>
      </w:r>
      <w:r w:rsidRPr="0060029E">
        <w:rPr>
          <w:rFonts w:ascii="Tekton Pro Ext" w:hAnsi="Tekton Pro Ext"/>
          <w:szCs w:val="24"/>
        </w:rPr>
        <w:t>urban</w:t>
      </w:r>
      <w:r w:rsidR="008B0884" w:rsidRPr="0060029E">
        <w:rPr>
          <w:rFonts w:ascii="Arial" w:hAnsi="Arial" w:cs="Arial"/>
          <w:szCs w:val="24"/>
        </w:rPr>
        <w:t>→</w:t>
      </w:r>
      <w:r w:rsidRPr="0060029E">
        <w:rPr>
          <w:rFonts w:ascii="Tekton Pro Ext" w:hAnsi="Tekton Pro Ext"/>
          <w:szCs w:val="24"/>
        </w:rPr>
        <w:t>suburban</w:t>
      </w:r>
      <w:r w:rsidR="008B0884" w:rsidRPr="0060029E">
        <w:rPr>
          <w:rFonts w:ascii="Arial" w:hAnsi="Arial" w:cs="Arial"/>
          <w:szCs w:val="24"/>
        </w:rPr>
        <w:t>→</w:t>
      </w:r>
      <w:r w:rsidRPr="0060029E">
        <w:rPr>
          <w:rFonts w:ascii="Tekton Pro Ext" w:hAnsi="Tekton Pro Ext"/>
          <w:szCs w:val="24"/>
        </w:rPr>
        <w:t>subrural</w:t>
      </w:r>
      <w:proofErr w:type="spellEnd"/>
      <w:r w:rsidR="0060029E" w:rsidRPr="0060029E">
        <w:rPr>
          <w:rFonts w:ascii="Arial" w:hAnsi="Arial" w:cs="Arial"/>
          <w:szCs w:val="24"/>
        </w:rPr>
        <w:t xml:space="preserve"> </w:t>
      </w:r>
      <w:r w:rsidR="008B0884" w:rsidRPr="0060029E">
        <w:rPr>
          <w:rFonts w:ascii="Arial" w:hAnsi="Arial" w:cs="Arial"/>
          <w:szCs w:val="24"/>
        </w:rPr>
        <w:t>→</w:t>
      </w:r>
      <w:proofErr w:type="spellStart"/>
      <w:r w:rsidRPr="0060029E">
        <w:rPr>
          <w:rFonts w:ascii="Tekton Pro Ext" w:hAnsi="Tekton Pro Ext"/>
          <w:szCs w:val="24"/>
        </w:rPr>
        <w:t>rural</w:t>
      </w:r>
      <w:proofErr w:type="spellEnd"/>
      <w:r w:rsidR="0060029E">
        <w:rPr>
          <w:rFonts w:ascii="Arial" w:hAnsi="Arial" w:cs="Arial"/>
          <w:szCs w:val="24"/>
        </w:rPr>
        <w:t>/</w:t>
      </w:r>
      <w:proofErr w:type="spellStart"/>
      <w:r w:rsidRPr="0060029E">
        <w:rPr>
          <w:rFonts w:ascii="Tekton Pro Ext" w:hAnsi="Tekton Pro Ext"/>
          <w:szCs w:val="24"/>
        </w:rPr>
        <w:t>rurban</w:t>
      </w:r>
      <w:r w:rsidR="008B0884" w:rsidRPr="0060029E">
        <w:rPr>
          <w:rFonts w:ascii="Arial" w:hAnsi="Arial" w:cs="Arial"/>
          <w:szCs w:val="24"/>
        </w:rPr>
        <w:t>→</w:t>
      </w:r>
      <w:r w:rsidRPr="0060029E">
        <w:rPr>
          <w:rFonts w:ascii="Tekton Pro Ext" w:hAnsi="Tekton Pro Ext"/>
          <w:szCs w:val="24"/>
        </w:rPr>
        <w:t>hyper</w:t>
      </w:r>
      <w:r w:rsidR="0053437E" w:rsidRPr="0060029E">
        <w:rPr>
          <w:rFonts w:ascii="Tekton Pro Ext" w:hAnsi="Tekton Pro Ext"/>
          <w:szCs w:val="24"/>
        </w:rPr>
        <w:t>r</w:t>
      </w:r>
      <w:r w:rsidRPr="0060029E">
        <w:rPr>
          <w:rFonts w:ascii="Tekton Pro Ext" w:hAnsi="Tekton Pro Ext"/>
          <w:szCs w:val="24"/>
        </w:rPr>
        <w:t>ural</w:t>
      </w:r>
      <w:proofErr w:type="spellEnd"/>
    </w:p>
    <w:p w:rsidR="0060029E" w:rsidRDefault="0060029E" w:rsidP="008B0884">
      <w:pPr>
        <w:pStyle w:val="Bezmezer"/>
        <w:rPr>
          <w:rFonts w:ascii="Tekton Pro Ext" w:hAnsi="Tekton Pro Ext"/>
          <w:szCs w:val="24"/>
        </w:rPr>
      </w:pPr>
    </w:p>
    <w:p w:rsidR="0060029E" w:rsidRDefault="0060029E" w:rsidP="008B0884">
      <w:pPr>
        <w:pStyle w:val="Bezmezer"/>
        <w:rPr>
          <w:rFonts w:ascii="Tekton Pro Ext" w:hAnsi="Tekton Pro Ext"/>
          <w:szCs w:val="24"/>
        </w:rPr>
      </w:pPr>
      <w:r>
        <w:rPr>
          <w:rFonts w:ascii="Tekton Pro Ext" w:hAnsi="Tekton Pro Ext"/>
          <w:noProof/>
          <w:szCs w:val="24"/>
          <w:lang w:eastAsia="cs-CZ"/>
        </w:rPr>
        <w:drawing>
          <wp:inline distT="0" distB="0" distL="0" distR="0">
            <wp:extent cx="5760720" cy="42525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no_územní hra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9E" w:rsidRDefault="0060029E" w:rsidP="008B0884">
      <w:pPr>
        <w:pStyle w:val="Bezmezer"/>
        <w:rPr>
          <w:rFonts w:ascii="Tekton Pro Ext" w:hAnsi="Tekton Pro Ext"/>
          <w:szCs w:val="24"/>
        </w:rPr>
      </w:pPr>
    </w:p>
    <w:p w:rsidR="0060029E" w:rsidRDefault="0060029E" w:rsidP="008B0884">
      <w:pPr>
        <w:pStyle w:val="Bezmezer"/>
        <w:rPr>
          <w:rFonts w:ascii="Tekton Pro Ext" w:hAnsi="Tekton Pro Ext"/>
          <w:szCs w:val="24"/>
        </w:rPr>
      </w:pPr>
      <w:r>
        <w:rPr>
          <w:rFonts w:ascii="Tekton Pro Ext" w:hAnsi="Tekton Pro Ext"/>
          <w:szCs w:val="24"/>
        </w:rPr>
        <w:t xml:space="preserve">Buď v rozsahu administrativního města </w:t>
      </w:r>
      <w:proofErr w:type="gramStart"/>
      <w:r>
        <w:rPr>
          <w:rFonts w:ascii="Tekton Pro Ext" w:hAnsi="Tekton Pro Ext"/>
          <w:szCs w:val="24"/>
        </w:rPr>
        <w:t>Brna nebo</w:t>
      </w:r>
      <w:proofErr w:type="gramEnd"/>
      <w:r>
        <w:rPr>
          <w:rFonts w:ascii="Tekton Pro Ext" w:hAnsi="Tekton Pro Ext"/>
          <w:szCs w:val="24"/>
        </w:rPr>
        <w:t xml:space="preserve"> Velkého  Brna vyberte 6 vzorků území podle výše uvedené série, každý o ploše1-4 hektary.</w:t>
      </w:r>
      <w:r w:rsidR="000140FD">
        <w:rPr>
          <w:rFonts w:ascii="Tekton Pro Ext" w:hAnsi="Tekton Pro Ext"/>
          <w:szCs w:val="24"/>
        </w:rPr>
        <w:t xml:space="preserve"> Stanovte rozlišovací znaky urbanity a </w:t>
      </w:r>
      <w:proofErr w:type="spellStart"/>
      <w:r w:rsidR="000140FD">
        <w:rPr>
          <w:rFonts w:ascii="Tekton Pro Ext" w:hAnsi="Tekton Pro Ext"/>
          <w:szCs w:val="24"/>
        </w:rPr>
        <w:t>rurality</w:t>
      </w:r>
      <w:proofErr w:type="spellEnd"/>
      <w:r w:rsidR="000140FD">
        <w:rPr>
          <w:rFonts w:ascii="Tekton Pro Ext" w:hAnsi="Tekton Pro Ext"/>
          <w:szCs w:val="24"/>
        </w:rPr>
        <w:t>, jež mohou být sociální, ekonomické, ekologické, kulturní, politické, technologické či jiné, na které přijdete vlastním postupem geografického myšlení.  Za klíčová slova považujte ´</w:t>
      </w:r>
      <w:proofErr w:type="spellStart"/>
      <w:r w:rsidR="000140FD">
        <w:rPr>
          <w:rFonts w:ascii="Tekton Pro Ext" w:hAnsi="Tekton Pro Ext"/>
          <w:szCs w:val="24"/>
        </w:rPr>
        <w:t>hybriditu´a</w:t>
      </w:r>
      <w:proofErr w:type="spellEnd"/>
      <w:r w:rsidR="000140FD">
        <w:rPr>
          <w:rFonts w:ascii="Tekton Pro Ext" w:hAnsi="Tekton Pro Ext"/>
          <w:szCs w:val="24"/>
        </w:rPr>
        <w:t xml:space="preserve"> ´nexus´. Hybridita v našem případě znamená, že zřídkakdy jde o čistou urbanitu či </w:t>
      </w:r>
      <w:proofErr w:type="spellStart"/>
      <w:r w:rsidR="000140FD">
        <w:rPr>
          <w:rFonts w:ascii="Tekton Pro Ext" w:hAnsi="Tekton Pro Ext"/>
          <w:szCs w:val="24"/>
        </w:rPr>
        <w:t>ruralitu</w:t>
      </w:r>
      <w:proofErr w:type="spellEnd"/>
      <w:r w:rsidR="000140FD">
        <w:rPr>
          <w:rFonts w:ascii="Tekton Pro Ext" w:hAnsi="Tekton Pro Ext"/>
          <w:szCs w:val="24"/>
        </w:rPr>
        <w:t xml:space="preserve">, většinou jsou </w:t>
      </w:r>
      <w:proofErr w:type="gramStart"/>
      <w:r w:rsidR="000140FD">
        <w:rPr>
          <w:rFonts w:ascii="Tekton Pro Ext" w:hAnsi="Tekton Pro Ext"/>
          <w:szCs w:val="24"/>
        </w:rPr>
        <w:t>propojené ( např.</w:t>
      </w:r>
      <w:proofErr w:type="gramEnd"/>
      <w:r w:rsidR="000140FD">
        <w:rPr>
          <w:rFonts w:ascii="Tekton Pro Ext" w:hAnsi="Tekton Pro Ext"/>
          <w:szCs w:val="24"/>
        </w:rPr>
        <w:t xml:space="preserve"> lidé bydlí na venkově, ale pracují ve městě). Nexus vyjadřuje prostorovou spojitost, přechod vzájemně různé míry urbanity/</w:t>
      </w:r>
      <w:proofErr w:type="spellStart"/>
      <w:r w:rsidR="000140FD">
        <w:rPr>
          <w:rFonts w:ascii="Tekton Pro Ext" w:hAnsi="Tekton Pro Ext"/>
          <w:szCs w:val="24"/>
        </w:rPr>
        <w:t>rurality</w:t>
      </w:r>
      <w:proofErr w:type="spellEnd"/>
      <w:r w:rsidR="000140FD">
        <w:rPr>
          <w:rFonts w:ascii="Tekton Pro Ext" w:hAnsi="Tekton Pro Ext"/>
          <w:szCs w:val="24"/>
        </w:rPr>
        <w:t xml:space="preserve">. To nevylučuje existenci zřetelných přechodů s ostrými hranicemi – výjimky potvrzující pravidlo. V prostorových vzorcích se pokuste najít znaky urbanity a </w:t>
      </w:r>
      <w:proofErr w:type="spellStart"/>
      <w:r w:rsidR="000140FD">
        <w:rPr>
          <w:rFonts w:ascii="Tekton Pro Ext" w:hAnsi="Tekton Pro Ext"/>
          <w:szCs w:val="24"/>
        </w:rPr>
        <w:t>rurality</w:t>
      </w:r>
      <w:proofErr w:type="spellEnd"/>
      <w:r w:rsidR="000140FD">
        <w:rPr>
          <w:rFonts w:ascii="Tekton Pro Ext" w:hAnsi="Tekton Pro Ext"/>
          <w:szCs w:val="24"/>
        </w:rPr>
        <w:t>. Dva mezní případy – hyper urbanita/</w:t>
      </w:r>
      <w:proofErr w:type="spellStart"/>
      <w:r w:rsidR="000140FD">
        <w:rPr>
          <w:rFonts w:ascii="Tekton Pro Ext" w:hAnsi="Tekton Pro Ext"/>
          <w:szCs w:val="24"/>
        </w:rPr>
        <w:t>ruralita</w:t>
      </w:r>
      <w:proofErr w:type="spellEnd"/>
      <w:r w:rsidR="000140FD">
        <w:rPr>
          <w:rFonts w:ascii="Tekton Pro Ext" w:hAnsi="Tekton Pro Ext"/>
          <w:szCs w:val="24"/>
        </w:rPr>
        <w:t xml:space="preserve"> představují v případě Velkého Brna zřejmě hypotetickou možnost.</w:t>
      </w:r>
    </w:p>
    <w:p w:rsidR="000140FD" w:rsidRPr="0060029E" w:rsidRDefault="000140FD" w:rsidP="008B0884">
      <w:pPr>
        <w:pStyle w:val="Bezmezer"/>
        <w:rPr>
          <w:rFonts w:ascii="Tekton Pro Ext" w:hAnsi="Tekton Pro Ext"/>
          <w:szCs w:val="24"/>
        </w:rPr>
      </w:pPr>
    </w:p>
    <w:p w:rsidR="00152348" w:rsidRDefault="0060029E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noProof/>
          <w:sz w:val="28"/>
          <w:szCs w:val="28"/>
          <w:lang w:eastAsia="cs-CZ"/>
        </w:rPr>
        <w:drawing>
          <wp:inline distT="0" distB="0" distL="0" distR="0">
            <wp:extent cx="5760720" cy="3998443"/>
            <wp:effectExtent l="0" t="0" r="0" b="2540"/>
            <wp:docPr id="2" name="Obrázek 2" descr="E:\UrbanRural\2015\ÚVODLesson1\město\GBA - sections - ver.3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rbanRural\2015\ÚVODLesson1\město\GBA - sections - ver.3 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FD" w:rsidRDefault="000140FD" w:rsidP="000140FD">
      <w:pPr>
        <w:pStyle w:val="Bezmezer"/>
        <w:rPr>
          <w:rFonts w:ascii="Tekton Pro Ext" w:hAnsi="Tekton Pro Ext"/>
        </w:rPr>
      </w:pPr>
      <w:r>
        <w:rPr>
          <w:rFonts w:ascii="Tekton Pro Ext" w:hAnsi="Tekton Pro Ext"/>
        </w:rPr>
        <w:t xml:space="preserve">V doporučené literatuře se objevuje kanadská práce autorky </w:t>
      </w:r>
      <w:proofErr w:type="spellStart"/>
      <w:r w:rsidRPr="000140FD">
        <w:rPr>
          <w:rFonts w:ascii="Tekton Pro Ext" w:hAnsi="Tekton Pro Ext"/>
        </w:rPr>
        <w:t>Prabhjote</w:t>
      </w:r>
      <w:proofErr w:type="spellEnd"/>
      <w:r w:rsidRPr="000140FD">
        <w:rPr>
          <w:rFonts w:ascii="Tekton Pro Ext" w:hAnsi="Tekton Pro Ext"/>
        </w:rPr>
        <w:t xml:space="preserve"> </w:t>
      </w:r>
      <w:proofErr w:type="spellStart"/>
      <w:r w:rsidRPr="000140FD">
        <w:rPr>
          <w:rFonts w:ascii="Tekton Pro Ext" w:hAnsi="Tekton Pro Ext"/>
        </w:rPr>
        <w:t>Kaur</w:t>
      </w:r>
      <w:proofErr w:type="spellEnd"/>
      <w:r w:rsidRPr="000140FD">
        <w:rPr>
          <w:rFonts w:ascii="Tekton Pro Ext" w:hAnsi="Tekton Pro Ext"/>
        </w:rPr>
        <w:t xml:space="preserve"> </w:t>
      </w:r>
      <w:proofErr w:type="spellStart"/>
      <w:r w:rsidRPr="000140FD">
        <w:rPr>
          <w:rFonts w:ascii="Tekton Pro Ext" w:hAnsi="Tekton Pro Ext"/>
        </w:rPr>
        <w:t>Gondek</w:t>
      </w:r>
      <w:proofErr w:type="spellEnd"/>
      <w:r w:rsidR="00CE5F7E">
        <w:rPr>
          <w:rFonts w:ascii="Tekton Pro Ext" w:hAnsi="Tekton Pro Ext"/>
        </w:rPr>
        <w:t xml:space="preserve">, s níž </w:t>
      </w:r>
      <w:r w:rsidR="004F72E2">
        <w:rPr>
          <w:rFonts w:ascii="Tekton Pro Ext" w:hAnsi="Tekton Pro Ext"/>
        </w:rPr>
        <w:t>jsem</w:t>
      </w:r>
      <w:r w:rsidR="00CE5F7E">
        <w:rPr>
          <w:rFonts w:ascii="Tekton Pro Ext" w:hAnsi="Tekton Pro Ext"/>
        </w:rPr>
        <w:t xml:space="preserve"> v kontaktu a práce z </w:t>
      </w:r>
      <w:proofErr w:type="spellStart"/>
      <w:r w:rsidR="00CE5F7E">
        <w:rPr>
          <w:rFonts w:ascii="Tekton Pro Ext" w:hAnsi="Tekton Pro Ext"/>
        </w:rPr>
        <w:t>The</w:t>
      </w:r>
      <w:proofErr w:type="spellEnd"/>
      <w:r w:rsidR="00CE5F7E">
        <w:rPr>
          <w:rFonts w:ascii="Tekton Pro Ext" w:hAnsi="Tekton Pro Ext"/>
        </w:rPr>
        <w:t xml:space="preserve"> </w:t>
      </w:r>
      <w:proofErr w:type="spellStart"/>
      <w:r w:rsidR="00CE5F7E">
        <w:rPr>
          <w:rFonts w:ascii="Tekton Pro Ext" w:hAnsi="Tekton Pro Ext"/>
        </w:rPr>
        <w:t>Macaulay</w:t>
      </w:r>
      <w:proofErr w:type="spellEnd"/>
      <w:r w:rsidR="00CE5F7E">
        <w:rPr>
          <w:rFonts w:ascii="Tekton Pro Ext" w:hAnsi="Tekton Pro Ext"/>
        </w:rPr>
        <w:t xml:space="preserve"> Institute</w:t>
      </w:r>
      <w:r w:rsidR="00DD7C60">
        <w:rPr>
          <w:rFonts w:ascii="Tekton Pro Ext" w:hAnsi="Tekton Pro Ext"/>
        </w:rPr>
        <w:t>, nicméně je z </w:t>
      </w:r>
      <w:proofErr w:type="gramStart"/>
      <w:r w:rsidR="00DD7C60">
        <w:rPr>
          <w:rFonts w:ascii="Tekton Pro Ext" w:hAnsi="Tekton Pro Ext"/>
        </w:rPr>
        <w:t>r.2007</w:t>
      </w:r>
      <w:proofErr w:type="gramEnd"/>
      <w:r w:rsidR="00DD7C60">
        <w:rPr>
          <w:rFonts w:ascii="Tekton Pro Ext" w:hAnsi="Tekton Pro Ext"/>
        </w:rPr>
        <w:t xml:space="preserve"> a nyní v ní nepokračují. </w:t>
      </w:r>
    </w:p>
    <w:p w:rsidR="00DD7C60" w:rsidRDefault="00DD7C60" w:rsidP="000140FD">
      <w:pPr>
        <w:pStyle w:val="Bezmezer"/>
        <w:rPr>
          <w:rFonts w:ascii="Tekton Pro Ext" w:hAnsi="Tekton Pro Ext"/>
        </w:rPr>
      </w:pPr>
      <w:r>
        <w:rPr>
          <w:rFonts w:ascii="Tekton Pro Ext" w:hAnsi="Tekton Pro Ext"/>
        </w:rPr>
        <w:t>Jiným nosným tématem je životní styl/způsob, který může být výrazným indikátorem urbánně-rurální hybridity, resp. nexu.</w:t>
      </w:r>
    </w:p>
    <w:p w:rsidR="00DD7C60" w:rsidRDefault="00DD7C60" w:rsidP="000140FD">
      <w:pPr>
        <w:pStyle w:val="Bezmezer"/>
        <w:rPr>
          <w:rFonts w:ascii="Tekton Pro Ext" w:hAnsi="Tekton Pro Ext"/>
        </w:rPr>
      </w:pPr>
      <w:r>
        <w:rPr>
          <w:rFonts w:ascii="Tekton Pro Ext" w:hAnsi="Tekton Pro Ext"/>
        </w:rPr>
        <w:t>Existuje i literatura o urbánně-rurální kontinuitě či gradaci, možná i gradientu. Ale jsou dost orientované ekologicky, nicméně studium využití země lze interpretovat i v rámci naší hybridity/nexu.</w:t>
      </w:r>
    </w:p>
    <w:p w:rsidR="00DD7C60" w:rsidRDefault="00DD7C60" w:rsidP="000140FD">
      <w:pPr>
        <w:pStyle w:val="Bezmezer"/>
        <w:rPr>
          <w:rFonts w:ascii="Tekton Pro Ext" w:hAnsi="Tekton Pro Ext"/>
        </w:rPr>
      </w:pPr>
      <w:r>
        <w:rPr>
          <w:rFonts w:ascii="Tekton Pro Ext" w:hAnsi="Tekton Pro Ext"/>
        </w:rPr>
        <w:t xml:space="preserve">Výběr prostorových vzorků by měl být založen na terénní rekognoskaci a následném terénním studiu. Často se mezi studenty geografie vyskytují dva badatelské </w:t>
      </w:r>
      <w:proofErr w:type="gramStart"/>
      <w:r>
        <w:rPr>
          <w:rFonts w:ascii="Tekton Pro Ext" w:hAnsi="Tekton Pro Ext"/>
        </w:rPr>
        <w:t>typy : studenti</w:t>
      </w:r>
      <w:proofErr w:type="gramEnd"/>
      <w:r>
        <w:rPr>
          <w:rFonts w:ascii="Tekton Pro Ext" w:hAnsi="Tekton Pro Ext"/>
        </w:rPr>
        <w:t xml:space="preserve"> schopní sociálního výzkumu, rozhovorů s lidmi ( nejen klasické dotazníky), dokonce i </w:t>
      </w:r>
      <w:r w:rsidR="004F72E2">
        <w:rPr>
          <w:rFonts w:ascii="Tekton Pro Ext" w:hAnsi="Tekton Pro Ext"/>
        </w:rPr>
        <w:t xml:space="preserve">participativního </w:t>
      </w:r>
      <w:r>
        <w:rPr>
          <w:rFonts w:ascii="Tekton Pro Ext" w:hAnsi="Tekton Pro Ext"/>
        </w:rPr>
        <w:t>výzkumu</w:t>
      </w:r>
      <w:r w:rsidR="004F72E2">
        <w:rPr>
          <w:rFonts w:ascii="Tekton Pro Ext" w:hAnsi="Tekton Pro Ext"/>
        </w:rPr>
        <w:t xml:space="preserve"> (viz studijní materiály – </w:t>
      </w:r>
      <w:proofErr w:type="spellStart"/>
      <w:r w:rsidR="004F72E2">
        <w:rPr>
          <w:rFonts w:ascii="Tekton Pro Ext" w:hAnsi="Tekton Pro Ext"/>
        </w:rPr>
        <w:t>Key</w:t>
      </w:r>
      <w:proofErr w:type="spellEnd"/>
      <w:r w:rsidR="004F72E2">
        <w:rPr>
          <w:rFonts w:ascii="Tekton Pro Ext" w:hAnsi="Tekton Pro Ext"/>
        </w:rPr>
        <w:t xml:space="preserve"> </w:t>
      </w:r>
      <w:proofErr w:type="spellStart"/>
      <w:r w:rsidR="004F72E2">
        <w:rPr>
          <w:rFonts w:ascii="Tekton Pro Ext" w:hAnsi="Tekton Pro Ext"/>
        </w:rPr>
        <w:t>Methods</w:t>
      </w:r>
      <w:proofErr w:type="spellEnd"/>
      <w:r w:rsidR="004F72E2">
        <w:rPr>
          <w:rFonts w:ascii="Tekton Pro Ext" w:hAnsi="Tekton Pro Ext"/>
        </w:rPr>
        <w:t xml:space="preserve"> in </w:t>
      </w:r>
      <w:proofErr w:type="spellStart"/>
      <w:r w:rsidR="004F72E2">
        <w:rPr>
          <w:rFonts w:ascii="Tekton Pro Ext" w:hAnsi="Tekton Pro Ext"/>
        </w:rPr>
        <w:t>Geography</w:t>
      </w:r>
      <w:proofErr w:type="spellEnd"/>
      <w:r w:rsidR="004F72E2">
        <w:rPr>
          <w:rFonts w:ascii="Tekton Pro Ext" w:hAnsi="Tekton Pro Ext"/>
        </w:rPr>
        <w:t xml:space="preserve">) a studenti, kteří k sociálnímu výzkumu nemají vztah, zpravidla jsou orientováni jen přírodovědně. Z dlouholeté praxe vím, že nutit k sociálnímu výzkumu někoho, kdo k němu vztah nemá je kontraproduktivní. Ale je možné hledat cesty jak se to naučit. Právě </w:t>
      </w:r>
      <w:proofErr w:type="spellStart"/>
      <w:r w:rsidR="004F72E2" w:rsidRPr="000140FD">
        <w:rPr>
          <w:rFonts w:ascii="Tekton Pro Ext" w:hAnsi="Tekton Pro Ext"/>
        </w:rPr>
        <w:t>Prabhjote</w:t>
      </w:r>
      <w:proofErr w:type="spellEnd"/>
      <w:r w:rsidR="004F72E2" w:rsidRPr="000140FD">
        <w:rPr>
          <w:rFonts w:ascii="Tekton Pro Ext" w:hAnsi="Tekton Pro Ext"/>
        </w:rPr>
        <w:t xml:space="preserve"> </w:t>
      </w:r>
      <w:proofErr w:type="spellStart"/>
      <w:r w:rsidR="004F72E2" w:rsidRPr="000140FD">
        <w:rPr>
          <w:rFonts w:ascii="Tekton Pro Ext" w:hAnsi="Tekton Pro Ext"/>
        </w:rPr>
        <w:t>Kaur</w:t>
      </w:r>
      <w:proofErr w:type="spellEnd"/>
      <w:r w:rsidR="004F72E2" w:rsidRPr="000140FD">
        <w:rPr>
          <w:rFonts w:ascii="Tekton Pro Ext" w:hAnsi="Tekton Pro Ext"/>
        </w:rPr>
        <w:t xml:space="preserve"> </w:t>
      </w:r>
      <w:proofErr w:type="spellStart"/>
      <w:r w:rsidR="004F72E2" w:rsidRPr="000140FD">
        <w:rPr>
          <w:rFonts w:ascii="Tekton Pro Ext" w:hAnsi="Tekton Pro Ext"/>
        </w:rPr>
        <w:t>Gondek</w:t>
      </w:r>
      <w:proofErr w:type="spellEnd"/>
      <w:r w:rsidR="004F72E2">
        <w:rPr>
          <w:rFonts w:ascii="Tekton Pro Ext" w:hAnsi="Tekton Pro Ext"/>
        </w:rPr>
        <w:t xml:space="preserve"> je socioložka a její přístup je velice inspirující. Nicméně v našem případě jde o projekt, který je vymezen cílově, ale cesty k dosažení cíle mohou být velmi rozmanité: svět je multiplicita.</w:t>
      </w:r>
    </w:p>
    <w:p w:rsidR="004F72E2" w:rsidRDefault="004F72E2" w:rsidP="000140FD">
      <w:pPr>
        <w:pStyle w:val="Bezmezer"/>
        <w:rPr>
          <w:rFonts w:ascii="Tekton Pro Ext" w:hAnsi="Tekton Pro Ext"/>
        </w:rPr>
      </w:pPr>
    </w:p>
    <w:p w:rsidR="004F72E2" w:rsidRPr="000140FD" w:rsidRDefault="004F72E2" w:rsidP="000140FD">
      <w:pPr>
        <w:pStyle w:val="Bezmezer"/>
        <w:rPr>
          <w:rFonts w:ascii="Tekton Pro Ext" w:hAnsi="Tekton Pro Ext"/>
        </w:rPr>
      </w:pPr>
      <w:r>
        <w:rPr>
          <w:rFonts w:ascii="Tekton Pro Ext" w:hAnsi="Tekton Pro Ext"/>
        </w:rPr>
        <w:tab/>
      </w:r>
      <w:r>
        <w:rPr>
          <w:rFonts w:ascii="Tekton Pro Ext" w:hAnsi="Tekton Pro Ext"/>
        </w:rPr>
        <w:tab/>
      </w:r>
      <w:r>
        <w:rPr>
          <w:rFonts w:ascii="Tekton Pro Ext" w:hAnsi="Tekton Pro Ext"/>
        </w:rPr>
        <w:tab/>
      </w:r>
      <w:r>
        <w:rPr>
          <w:rFonts w:ascii="Tekton Pro Ext" w:hAnsi="Tekton Pro Ext"/>
        </w:rPr>
        <w:tab/>
      </w:r>
      <w:r>
        <w:rPr>
          <w:rFonts w:ascii="Tekton Pro Ext" w:hAnsi="Tekton Pro Ext"/>
        </w:rPr>
        <w:tab/>
      </w:r>
      <w:r>
        <w:rPr>
          <w:rFonts w:ascii="Tekton Pro Ext" w:hAnsi="Tekton Pro Ext"/>
        </w:rPr>
        <w:tab/>
      </w:r>
      <w:proofErr w:type="spellStart"/>
      <w:proofErr w:type="gramStart"/>
      <w:r>
        <w:rPr>
          <w:rFonts w:ascii="Tekton Pro Ext" w:hAnsi="Tekton Pro Ext"/>
        </w:rPr>
        <w:t>A.Hynek</w:t>
      </w:r>
      <w:proofErr w:type="spellEnd"/>
      <w:proofErr w:type="gramEnd"/>
      <w:r>
        <w:rPr>
          <w:rFonts w:ascii="Tekton Pro Ext" w:hAnsi="Tekton Pro Ext"/>
        </w:rPr>
        <w:t>, 19.- 23.2.2015</w:t>
      </w:r>
      <w:bookmarkStart w:id="0" w:name="_GoBack"/>
      <w:bookmarkEnd w:id="0"/>
    </w:p>
    <w:sectPr w:rsidR="004F72E2" w:rsidRPr="000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48"/>
    <w:rsid w:val="000022C3"/>
    <w:rsid w:val="000124DD"/>
    <w:rsid w:val="000140FD"/>
    <w:rsid w:val="0002310A"/>
    <w:rsid w:val="00024E05"/>
    <w:rsid w:val="00053BBE"/>
    <w:rsid w:val="00081EF6"/>
    <w:rsid w:val="000822B5"/>
    <w:rsid w:val="000A0513"/>
    <w:rsid w:val="000B1475"/>
    <w:rsid w:val="000B6457"/>
    <w:rsid w:val="000C5D57"/>
    <w:rsid w:val="000E0D52"/>
    <w:rsid w:val="000F2F63"/>
    <w:rsid w:val="000F708D"/>
    <w:rsid w:val="001124CE"/>
    <w:rsid w:val="00112E10"/>
    <w:rsid w:val="00122F60"/>
    <w:rsid w:val="00140822"/>
    <w:rsid w:val="001456B2"/>
    <w:rsid w:val="00152348"/>
    <w:rsid w:val="00155A7F"/>
    <w:rsid w:val="001579DE"/>
    <w:rsid w:val="00173085"/>
    <w:rsid w:val="0017580B"/>
    <w:rsid w:val="00185526"/>
    <w:rsid w:val="001C0272"/>
    <w:rsid w:val="00232A32"/>
    <w:rsid w:val="0023544B"/>
    <w:rsid w:val="00240D66"/>
    <w:rsid w:val="00250DD8"/>
    <w:rsid w:val="00257C36"/>
    <w:rsid w:val="00263B08"/>
    <w:rsid w:val="00263F08"/>
    <w:rsid w:val="002656A4"/>
    <w:rsid w:val="00273B2D"/>
    <w:rsid w:val="002B068A"/>
    <w:rsid w:val="002F0A5D"/>
    <w:rsid w:val="002F6733"/>
    <w:rsid w:val="00303938"/>
    <w:rsid w:val="00313133"/>
    <w:rsid w:val="0031336F"/>
    <w:rsid w:val="003133F2"/>
    <w:rsid w:val="00361D9A"/>
    <w:rsid w:val="00362486"/>
    <w:rsid w:val="00374ACA"/>
    <w:rsid w:val="00394D0E"/>
    <w:rsid w:val="003C0065"/>
    <w:rsid w:val="003E6A74"/>
    <w:rsid w:val="00414839"/>
    <w:rsid w:val="00447147"/>
    <w:rsid w:val="00453208"/>
    <w:rsid w:val="00453C98"/>
    <w:rsid w:val="00457D14"/>
    <w:rsid w:val="004664AA"/>
    <w:rsid w:val="00470C9D"/>
    <w:rsid w:val="00492491"/>
    <w:rsid w:val="004C4A68"/>
    <w:rsid w:val="004E51D3"/>
    <w:rsid w:val="004F72E2"/>
    <w:rsid w:val="00507FD9"/>
    <w:rsid w:val="0052432E"/>
    <w:rsid w:val="0053437E"/>
    <w:rsid w:val="00570029"/>
    <w:rsid w:val="00571F42"/>
    <w:rsid w:val="00583A3A"/>
    <w:rsid w:val="00592E2C"/>
    <w:rsid w:val="005A01ED"/>
    <w:rsid w:val="005C1FF8"/>
    <w:rsid w:val="005C439D"/>
    <w:rsid w:val="005D064B"/>
    <w:rsid w:val="005F5EC8"/>
    <w:rsid w:val="0060029E"/>
    <w:rsid w:val="00602940"/>
    <w:rsid w:val="006244AE"/>
    <w:rsid w:val="006412D5"/>
    <w:rsid w:val="00642D6A"/>
    <w:rsid w:val="006516B5"/>
    <w:rsid w:val="006C36FB"/>
    <w:rsid w:val="006D5D6C"/>
    <w:rsid w:val="006F1556"/>
    <w:rsid w:val="007132B8"/>
    <w:rsid w:val="0074640B"/>
    <w:rsid w:val="00783C79"/>
    <w:rsid w:val="007B66DD"/>
    <w:rsid w:val="007C7412"/>
    <w:rsid w:val="007F5F24"/>
    <w:rsid w:val="0083057B"/>
    <w:rsid w:val="00834870"/>
    <w:rsid w:val="00855DA5"/>
    <w:rsid w:val="00860156"/>
    <w:rsid w:val="00861D8B"/>
    <w:rsid w:val="00871E85"/>
    <w:rsid w:val="00872C49"/>
    <w:rsid w:val="0089410F"/>
    <w:rsid w:val="008B0884"/>
    <w:rsid w:val="00930EA1"/>
    <w:rsid w:val="00953A93"/>
    <w:rsid w:val="0098181D"/>
    <w:rsid w:val="00987089"/>
    <w:rsid w:val="00987497"/>
    <w:rsid w:val="009C4C3A"/>
    <w:rsid w:val="009D728F"/>
    <w:rsid w:val="009E7BC4"/>
    <w:rsid w:val="009F7679"/>
    <w:rsid w:val="00A0144D"/>
    <w:rsid w:val="00A110FB"/>
    <w:rsid w:val="00A30EFB"/>
    <w:rsid w:val="00A3523B"/>
    <w:rsid w:val="00A447B3"/>
    <w:rsid w:val="00A921E7"/>
    <w:rsid w:val="00AD5E65"/>
    <w:rsid w:val="00AD6F0D"/>
    <w:rsid w:val="00B6307D"/>
    <w:rsid w:val="00BA3998"/>
    <w:rsid w:val="00BB2246"/>
    <w:rsid w:val="00BB6D59"/>
    <w:rsid w:val="00BD1FD9"/>
    <w:rsid w:val="00BE21D9"/>
    <w:rsid w:val="00C106A2"/>
    <w:rsid w:val="00C137F0"/>
    <w:rsid w:val="00C3090F"/>
    <w:rsid w:val="00C33B28"/>
    <w:rsid w:val="00C36258"/>
    <w:rsid w:val="00C7521A"/>
    <w:rsid w:val="00C920D2"/>
    <w:rsid w:val="00C92C62"/>
    <w:rsid w:val="00C930F7"/>
    <w:rsid w:val="00C942A0"/>
    <w:rsid w:val="00CA698A"/>
    <w:rsid w:val="00CB1A21"/>
    <w:rsid w:val="00CE5F7E"/>
    <w:rsid w:val="00CF7635"/>
    <w:rsid w:val="00D021DA"/>
    <w:rsid w:val="00D06AFA"/>
    <w:rsid w:val="00D20365"/>
    <w:rsid w:val="00D30D35"/>
    <w:rsid w:val="00D35E9F"/>
    <w:rsid w:val="00D45608"/>
    <w:rsid w:val="00D50AB3"/>
    <w:rsid w:val="00D62E03"/>
    <w:rsid w:val="00D85780"/>
    <w:rsid w:val="00D978CA"/>
    <w:rsid w:val="00DB23CB"/>
    <w:rsid w:val="00DB44DF"/>
    <w:rsid w:val="00DC2DC9"/>
    <w:rsid w:val="00DD7C60"/>
    <w:rsid w:val="00E06E04"/>
    <w:rsid w:val="00E07DCB"/>
    <w:rsid w:val="00E220D7"/>
    <w:rsid w:val="00E506A4"/>
    <w:rsid w:val="00E754AD"/>
    <w:rsid w:val="00EB3A22"/>
    <w:rsid w:val="00EB67B4"/>
    <w:rsid w:val="00ED110E"/>
    <w:rsid w:val="00ED164A"/>
    <w:rsid w:val="00ED693C"/>
    <w:rsid w:val="00EE6F62"/>
    <w:rsid w:val="00F12D78"/>
    <w:rsid w:val="00F13991"/>
    <w:rsid w:val="00F13D9E"/>
    <w:rsid w:val="00F17207"/>
    <w:rsid w:val="00F256B9"/>
    <w:rsid w:val="00F31DDB"/>
    <w:rsid w:val="00F67DA3"/>
    <w:rsid w:val="00F8056F"/>
    <w:rsid w:val="00F97B1C"/>
    <w:rsid w:val="00FC336F"/>
    <w:rsid w:val="00FC72CB"/>
    <w:rsid w:val="00FD38E2"/>
    <w:rsid w:val="00FE5EFD"/>
    <w:rsid w:val="00FF2D53"/>
    <w:rsid w:val="00FF3DB4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8B088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23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8B08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8B088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23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8B08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EDC7-1C5E-440E-AAC9-856D07A1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2015-02-22T23:51:00Z</dcterms:created>
  <dcterms:modified xsi:type="dcterms:W3CDTF">2015-02-22T23:51:00Z</dcterms:modified>
</cp:coreProperties>
</file>