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496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289"/>
        <w:gridCol w:w="3311"/>
      </w:tblGrid>
      <w:tr w:rsidR="00584CBD" w:rsidRPr="00EB2E2D" w14:paraId="4C0BDEDE" w14:textId="77777777" w:rsidTr="00867F0F">
        <w:trPr>
          <w:trHeight w:val="990"/>
        </w:trPr>
        <w:tc>
          <w:tcPr>
            <w:tcW w:w="5500" w:type="dxa"/>
            <w:tcBorders>
              <w:bottom w:val="single" w:sz="4" w:space="0" w:color="0070C0"/>
            </w:tcBorders>
            <w:vAlign w:val="bottom"/>
          </w:tcPr>
          <w:p w14:paraId="283B5AAB" w14:textId="5B0AB696" w:rsidR="00584CBD" w:rsidRPr="00553579" w:rsidRDefault="00584CBD" w:rsidP="00584CBD">
            <w:pPr>
              <w:pStyle w:val="Bezmezer"/>
              <w:ind w:left="0" w:right="142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bookmarkStart w:id="0" w:name="_GoBack"/>
            <w:bookmarkEnd w:id="0"/>
            <w:r w:rsidRPr="00553579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 Masarykova univerzita v Brně</w:t>
            </w:r>
          </w:p>
          <w:p w14:paraId="459AD3E3" w14:textId="08120A3F" w:rsidR="00584CBD" w:rsidRPr="00553579" w:rsidRDefault="00584CBD" w:rsidP="00584CBD">
            <w:pPr>
              <w:pStyle w:val="Bezmez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lang w:val="cs-CZ"/>
              </w:rPr>
              <w:t>Přírodovědecká fakulta</w:t>
            </w:r>
            <w:r w:rsidRPr="00553579">
              <w:rPr>
                <w:rFonts w:ascii="Cambria" w:hAnsi="Cambria"/>
                <w:lang w:val="cs-CZ"/>
              </w:rPr>
              <w:br/>
              <w:t xml:space="preserve">Ústav chemie – Chemie konzervování a restaurování  </w:t>
            </w:r>
          </w:p>
        </w:tc>
        <w:tc>
          <w:tcPr>
            <w:tcW w:w="3431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20BD440A" w14:textId="213FB43B" w:rsidR="00BA088B" w:rsidRPr="00553579" w:rsidRDefault="00076A83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Pr</w:t>
            </w:r>
            <w:r w:rsidR="00BA088B" w:rsidRPr="00553579">
              <w:rPr>
                <w:rFonts w:ascii="Cambria" w:hAnsi="Cambria"/>
                <w:i/>
                <w:lang w:val="cs-CZ"/>
              </w:rPr>
              <w:t xml:space="preserve">aktické cvičení: </w:t>
            </w:r>
            <w:r w:rsidR="000F05DA">
              <w:rPr>
                <w:rFonts w:ascii="Cambria" w:hAnsi="Cambria"/>
                <w:i/>
                <w:sz w:val="28"/>
                <w:szCs w:val="28"/>
                <w:lang w:val="cs-CZ"/>
              </w:rPr>
              <w:t>5</w:t>
            </w:r>
          </w:p>
          <w:p w14:paraId="024DF853" w14:textId="22A53E7B" w:rsidR="00584CBD" w:rsidRPr="00553579" w:rsidRDefault="00A9157E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Datum:</w:t>
            </w:r>
          </w:p>
          <w:p w14:paraId="4C0BDEDD" w14:textId="0BABC2B6" w:rsidR="00584CBD" w:rsidRPr="00553579" w:rsidRDefault="00584CBD" w:rsidP="00584CBD">
            <w:pPr>
              <w:pStyle w:val="Bezmezer"/>
              <w:ind w:left="0" w:right="0"/>
              <w:rPr>
                <w:rFonts w:ascii="Cambria" w:hAnsi="Cambria"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 xml:space="preserve"> </w:t>
            </w:r>
            <w:r w:rsidR="00A9157E" w:rsidRPr="00553579">
              <w:rPr>
                <w:rFonts w:ascii="Cambria" w:hAnsi="Cambria"/>
                <w:i/>
                <w:lang w:val="cs-CZ"/>
              </w:rPr>
              <w:t xml:space="preserve">  Posluchač</w:t>
            </w:r>
            <w:r w:rsidR="00DD019E" w:rsidRPr="00553579">
              <w:rPr>
                <w:rFonts w:ascii="Cambria" w:hAnsi="Cambria"/>
                <w:i/>
                <w:lang w:val="cs-CZ"/>
              </w:rPr>
              <w:t>(ka)</w:t>
            </w:r>
            <w:r w:rsidR="00A9157E" w:rsidRPr="00553579">
              <w:rPr>
                <w:rFonts w:ascii="Cambria" w:hAnsi="Cambria"/>
                <w:i/>
                <w:lang w:val="cs-CZ"/>
              </w:rPr>
              <w:t>:</w:t>
            </w:r>
          </w:p>
        </w:tc>
      </w:tr>
    </w:tbl>
    <w:p w14:paraId="4F9B76C0" w14:textId="5D94460B" w:rsidR="008552D7" w:rsidRPr="00114B06" w:rsidRDefault="00A06E23" w:rsidP="008552D7">
      <w:pPr>
        <w:pStyle w:val="Podnadpis"/>
        <w:spacing w:before="240" w:after="120"/>
        <w:rPr>
          <w:rFonts w:ascii="Cambria" w:hAnsi="Cambria" w:cs="Segoe UI"/>
          <w:color w:val="0070C0"/>
          <w:sz w:val="20"/>
          <w:szCs w:val="20"/>
          <w:lang w:val="cs-CZ"/>
        </w:rPr>
      </w:pPr>
      <w:r w:rsidRPr="00114B06">
        <w:rPr>
          <w:rFonts w:ascii="Cambria" w:hAnsi="Cambria" w:cs="Segoe UI"/>
          <w:color w:val="0070C0"/>
          <w:sz w:val="20"/>
          <w:szCs w:val="20"/>
          <w:lang w:val="cs-CZ"/>
        </w:rPr>
        <w:t>Téma pr</w:t>
      </w:r>
      <w:r w:rsidR="00584CBD" w:rsidRPr="00114B06">
        <w:rPr>
          <w:rFonts w:ascii="Cambria" w:hAnsi="Cambria" w:cs="Segoe UI"/>
          <w:color w:val="0070C0"/>
          <w:sz w:val="20"/>
          <w:szCs w:val="20"/>
          <w:lang w:val="cs-CZ"/>
        </w:rPr>
        <w:t>aktického cvičení</w:t>
      </w:r>
      <w:r w:rsidR="008552D7" w:rsidRPr="00114B06">
        <w:rPr>
          <w:rFonts w:ascii="Cambria" w:hAnsi="Cambria" w:cs="Segoe UI"/>
          <w:color w:val="0070C0"/>
          <w:sz w:val="20"/>
          <w:szCs w:val="20"/>
          <w:lang w:val="cs-CZ"/>
        </w:rPr>
        <w:t xml:space="preserve">: </w:t>
      </w:r>
    </w:p>
    <w:p w14:paraId="553E59EA" w14:textId="716E4072" w:rsidR="00331C99" w:rsidRDefault="000F05DA" w:rsidP="00331C99">
      <w:pPr>
        <w:pStyle w:val="Podnadpis"/>
        <w:spacing w:before="120"/>
        <w:rPr>
          <w:rFonts w:ascii="Cambria" w:hAnsi="Cambria" w:cs="Segoe UI"/>
          <w:sz w:val="20"/>
          <w:szCs w:val="20"/>
          <w:lang w:val="cs-CZ"/>
        </w:rPr>
      </w:pPr>
      <w:r>
        <w:rPr>
          <w:rFonts w:ascii="Cambria" w:hAnsi="Cambria" w:cs="Segoe UI"/>
          <w:sz w:val="20"/>
          <w:szCs w:val="20"/>
          <w:lang w:val="cs-CZ"/>
        </w:rPr>
        <w:t>ODHAD PARAMETRŮ ROZPUSTNOSTI POLYMERŮ V ORGANICKÝCH ROZPOUŠTĚDLECH</w:t>
      </w:r>
    </w:p>
    <w:tbl>
      <w:tblPr>
        <w:tblStyle w:val="TipTable"/>
        <w:tblW w:w="5014" w:type="pct"/>
        <w:shd w:val="clear" w:color="auto" w:fill="FFFFFF" w:themeFill="background1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21"/>
        <w:gridCol w:w="8665"/>
      </w:tblGrid>
      <w:tr w:rsidR="00620791" w:rsidRPr="00EB2E2D" w14:paraId="4C0BDEEE" w14:textId="77777777" w:rsidTr="0096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" w:type="pct"/>
            <w:shd w:val="clear" w:color="auto" w:fill="FFFFFF" w:themeFill="background1"/>
          </w:tcPr>
          <w:p w14:paraId="4C0BDEEA" w14:textId="733FE7B3" w:rsidR="00620791" w:rsidRPr="00584CBD" w:rsidRDefault="00620791">
            <w:pPr>
              <w:pStyle w:val="Icon"/>
              <w:rPr>
                <w:rFonts w:ascii="Segoe UI" w:hAnsi="Segoe UI" w:cs="Segoe UI"/>
                <w:u w:val="double"/>
                <w:lang w:val="cs-CZ"/>
              </w:rPr>
            </w:pPr>
          </w:p>
        </w:tc>
        <w:tc>
          <w:tcPr>
            <w:tcW w:w="4988" w:type="pct"/>
            <w:shd w:val="clear" w:color="auto" w:fill="FFFFFF" w:themeFill="background1"/>
          </w:tcPr>
          <w:p w14:paraId="2C1EB899" w14:textId="77777777" w:rsidR="009621FA" w:rsidRPr="00EB2E2D" w:rsidRDefault="00863373" w:rsidP="009621F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Segoe UI"/>
                <w:b/>
                <w:color w:val="0070C0"/>
                <w:lang w:val="cs-CZ"/>
              </w:rPr>
            </w:pPr>
            <w:r w:rsidRPr="00EB2E2D">
              <w:rPr>
                <w:rFonts w:ascii="Cambria" w:hAnsi="Cambria" w:cs="Segoe UI"/>
                <w:b/>
                <w:color w:val="0070C0"/>
                <w:lang w:val="cs-CZ"/>
              </w:rPr>
              <w:t>SOUHRN</w:t>
            </w:r>
            <w:r w:rsidR="009621FA" w:rsidRPr="00EB2E2D">
              <w:rPr>
                <w:rFonts w:ascii="Cambria" w:hAnsi="Cambria" w:cs="Segoe UI"/>
                <w:b/>
                <w:color w:val="0070C0"/>
                <w:lang w:val="cs-CZ"/>
              </w:rPr>
              <w:t xml:space="preserve"> </w:t>
            </w:r>
          </w:p>
          <w:p w14:paraId="60046AC2" w14:textId="4F08E177" w:rsidR="009621FA" w:rsidRPr="00EB2E2D" w:rsidRDefault="009621FA" w:rsidP="009621F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val="x-none"/>
              </w:rPr>
            </w:pPr>
            <w:r w:rsidRPr="00EB2E2D">
              <w:rPr>
                <w:rFonts w:ascii="Cambria" w:hAnsi="Cambria"/>
                <w:noProof/>
                <w:lang w:val="x-none"/>
              </w:rPr>
              <w:t xml:space="preserve">Odolnost proti vlivům prostředí je významnou vlastností polymerních materiálů. Předběžné hodnocení, zda je polymer odolný v rozpouštědlech, lze provést např. metodou porovnání </w:t>
            </w:r>
            <w:r w:rsidR="00347D0D" w:rsidRPr="00EB2E2D">
              <w:rPr>
                <w:rFonts w:ascii="Cambria" w:hAnsi="Cambria"/>
                <w:noProof/>
                <w:lang w:val="cs-CZ"/>
              </w:rPr>
              <w:t xml:space="preserve">Hansenových </w:t>
            </w:r>
            <w:r w:rsidRPr="00EB2E2D">
              <w:rPr>
                <w:rFonts w:ascii="Cambria" w:hAnsi="Cambria"/>
                <w:noProof/>
                <w:lang w:val="x-none"/>
              </w:rPr>
              <w:t xml:space="preserve">parametrů rozpustnosti δ.      </w:t>
            </w:r>
          </w:p>
          <w:p w14:paraId="2D7C5159" w14:textId="77777777" w:rsidR="009621FA" w:rsidRPr="00EB2E2D" w:rsidRDefault="009621FA" w:rsidP="009621F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val="x-none"/>
              </w:rPr>
            </w:pPr>
            <w:r w:rsidRPr="00EB2E2D">
              <w:rPr>
                <w:rFonts w:ascii="Cambria" w:hAnsi="Cambria"/>
                <w:noProof/>
                <w:lang w:val="x-none"/>
              </w:rPr>
              <w:t xml:space="preserve">Obecně platí, že čím je rozdíl hodnot parametrů rozpustnosti δ polymeru a rozpouštědla menší, tím více dochází k botnání nebo rozpouštění. </w:t>
            </w:r>
          </w:p>
          <w:p w14:paraId="510D8A51" w14:textId="77777777" w:rsidR="009621FA" w:rsidRPr="00EB2E2D" w:rsidRDefault="009621FA" w:rsidP="009621F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 w:rsidRPr="00EB2E2D">
              <w:rPr>
                <w:rFonts w:ascii="Cambria" w:hAnsi="Cambria" w:cs="Arial"/>
                <w:noProof/>
                <w:lang w:val="cs-CZ"/>
              </w:rPr>
              <w:t xml:space="preserve">Principem stanovení je interakce polymeru a rozpouštědla, resp. polymeru a směsi rozpouštědel. Hodnocení je možné provést porovnáním tabelovaných hodnot parametrů rozpustnosti δ a stanovením rozdílu podle vzorce: </w:t>
            </w:r>
          </w:p>
          <w:p w14:paraId="428F761D" w14:textId="14B31C5E" w:rsidR="009621FA" w:rsidRPr="00EB2E2D" w:rsidRDefault="009621FA" w:rsidP="009621FA">
            <w:pPr>
              <w:spacing w:after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 w:rsidRPr="00EB2E2D">
              <w:rPr>
                <w:rFonts w:ascii="Cambria" w:hAnsi="Cambria" w:cs="Arial"/>
                <w:noProof/>
                <w:lang w:val="cs-CZ"/>
              </w:rPr>
              <w:t>Ra</w:t>
            </w:r>
            <w:r w:rsidRPr="00EB2E2D">
              <w:rPr>
                <w:rFonts w:ascii="Cambria" w:hAnsi="Cambria" w:cs="Arial"/>
                <w:noProof/>
                <w:vertAlign w:val="superscript"/>
                <w:lang w:val="cs-CZ"/>
              </w:rPr>
              <w:t>2</w:t>
            </w:r>
            <w:r w:rsidRPr="00EB2E2D">
              <w:rPr>
                <w:rFonts w:ascii="Cambria" w:hAnsi="Cambria" w:cs="Arial"/>
                <w:noProof/>
                <w:lang w:val="cs-CZ"/>
              </w:rPr>
              <w:t xml:space="preserve"> = 4(δD2-δD1)</w:t>
            </w:r>
            <w:r w:rsidRPr="00EB2E2D">
              <w:rPr>
                <w:rFonts w:ascii="Cambria" w:hAnsi="Cambria" w:cs="Arial"/>
                <w:noProof/>
                <w:vertAlign w:val="superscript"/>
                <w:lang w:val="cs-CZ"/>
              </w:rPr>
              <w:t>2</w:t>
            </w:r>
            <w:r w:rsidRPr="00EB2E2D">
              <w:rPr>
                <w:rFonts w:ascii="Cambria" w:hAnsi="Cambria" w:cs="Arial"/>
                <w:noProof/>
                <w:lang w:val="cs-CZ"/>
              </w:rPr>
              <w:t>+(δD2-δD1)</w:t>
            </w:r>
            <w:r w:rsidRPr="00EB2E2D">
              <w:rPr>
                <w:rFonts w:ascii="Cambria" w:hAnsi="Cambria" w:cs="Arial"/>
                <w:noProof/>
                <w:vertAlign w:val="superscript"/>
                <w:lang w:val="cs-CZ"/>
              </w:rPr>
              <w:t>2</w:t>
            </w:r>
            <w:r w:rsidRPr="00EB2E2D">
              <w:rPr>
                <w:rFonts w:ascii="Cambria" w:hAnsi="Cambria" w:cs="Arial"/>
                <w:noProof/>
                <w:lang w:val="cs-CZ"/>
              </w:rPr>
              <w:t>+(δD2-δD1)</w:t>
            </w:r>
            <w:r w:rsidRPr="00EB2E2D">
              <w:rPr>
                <w:rFonts w:ascii="Cambria" w:hAnsi="Cambria" w:cs="Arial"/>
                <w:noProof/>
                <w:vertAlign w:val="superscript"/>
                <w:lang w:val="cs-CZ"/>
              </w:rPr>
              <w:t>2</w:t>
            </w:r>
          </w:p>
          <w:p w14:paraId="4C0BDEED" w14:textId="0F80281C" w:rsidR="00867F0F" w:rsidRPr="00EB2E2D" w:rsidRDefault="00CF0D32" w:rsidP="009621F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 w:rsidRPr="00EB2E2D">
              <w:rPr>
                <w:rFonts w:ascii="Cambria" w:hAnsi="Cambria" w:cs="Arial"/>
                <w:noProof/>
                <w:lang w:val="cs-CZ"/>
              </w:rPr>
              <w:t xml:space="preserve">Pro řešení úlohy je vydán tento metodický pokyn </w:t>
            </w:r>
            <w:r w:rsidR="003605E0" w:rsidRPr="00EB2E2D">
              <w:rPr>
                <w:rFonts w:ascii="Cambria" w:hAnsi="Cambria" w:cs="Arial"/>
                <w:noProof/>
                <w:lang w:val="cs-CZ"/>
              </w:rPr>
              <w:t xml:space="preserve">č. </w:t>
            </w:r>
            <w:r w:rsidR="009621FA" w:rsidRPr="00EB2E2D">
              <w:rPr>
                <w:rFonts w:ascii="Cambria" w:hAnsi="Cambria" w:cs="Arial"/>
                <w:noProof/>
                <w:lang w:val="cs-CZ"/>
              </w:rPr>
              <w:t>5</w:t>
            </w:r>
            <w:r w:rsidRPr="00EB2E2D">
              <w:rPr>
                <w:rFonts w:ascii="Cambria" w:hAnsi="Cambria" w:cs="Arial"/>
                <w:noProof/>
                <w:lang w:val="cs-CZ"/>
              </w:rPr>
              <w:t>.</w:t>
            </w:r>
          </w:p>
        </w:tc>
      </w:tr>
    </w:tbl>
    <w:p w14:paraId="52385237" w14:textId="4BCDEC52" w:rsidR="005D34AF" w:rsidRPr="006F6A73" w:rsidRDefault="00AA08F1" w:rsidP="003E2FA4">
      <w:pPr>
        <w:pStyle w:val="Nadpis1"/>
        <w:pBdr>
          <w:bottom w:val="none" w:sz="0" w:space="0" w:color="auto"/>
        </w:pBdr>
        <w:spacing w:before="360" w:after="0"/>
        <w:rPr>
          <w:rFonts w:ascii="Cambria" w:hAnsi="Cambria" w:cs="Segoe UI"/>
          <w:b/>
          <w:color w:val="0070C0"/>
          <w:sz w:val="20"/>
          <w:szCs w:val="2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B40BBF0" wp14:editId="2D76E4F8">
            <wp:extent cx="336550" cy="336550"/>
            <wp:effectExtent l="0" t="0" r="6350" b="6350"/>
            <wp:docPr id="9" name="Obrázek 9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73"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867F0F">
        <w:rPr>
          <w:rFonts w:ascii="Cambria" w:hAnsi="Cambria" w:cs="Segoe UI"/>
          <w:b/>
          <w:color w:val="0070C0"/>
          <w:sz w:val="20"/>
          <w:szCs w:val="20"/>
          <w:lang w:val="cs-CZ"/>
        </w:rPr>
        <w:t>Experimentální část</w:t>
      </w:r>
    </w:p>
    <w:p w14:paraId="26906A10" w14:textId="24BAC5DA" w:rsidR="00BB2EA6" w:rsidRPr="00863373" w:rsidRDefault="003922E1" w:rsidP="003E2FA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1AC578DF">
          <v:rect id="_x0000_i1025" style="width:450pt;height:.5pt" o:hrstd="t" o:hrnoshade="t" o:hr="t" fillcolor="#0070c0" stroked="f"/>
        </w:pict>
      </w:r>
    </w:p>
    <w:p w14:paraId="19351722" w14:textId="1528FFE7" w:rsidR="0024768A" w:rsidRPr="00EB2E2D" w:rsidRDefault="009621FA" w:rsidP="0024768A">
      <w:pPr>
        <w:pStyle w:val="Zhlav"/>
        <w:spacing w:before="60" w:line="288" w:lineRule="auto"/>
        <w:jc w:val="both"/>
        <w:rPr>
          <w:rFonts w:ascii="Cambria" w:hAnsi="Cambria"/>
          <w:b/>
          <w:noProof/>
          <w:sz w:val="18"/>
          <w:szCs w:val="18"/>
        </w:rPr>
      </w:pPr>
      <w:r w:rsidRPr="00EB2E2D">
        <w:rPr>
          <w:rFonts w:ascii="Cambria" w:hAnsi="Cambria"/>
          <w:b/>
          <w:noProof/>
          <w:sz w:val="18"/>
          <w:szCs w:val="18"/>
        </w:rPr>
        <w:t>Výpočet pro vybrané systémy</w:t>
      </w:r>
    </w:p>
    <w:p w14:paraId="774F070C" w14:textId="65365CC2" w:rsidR="00EB2E2D" w:rsidRPr="00EB2E2D" w:rsidRDefault="00EB2E2D" w:rsidP="00EB2E2D">
      <w:pPr>
        <w:pStyle w:val="Zhlav"/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EB2E2D">
        <w:rPr>
          <w:rFonts w:ascii="Cambria" w:hAnsi="Cambria"/>
          <w:noProof/>
          <w:sz w:val="18"/>
          <w:szCs w:val="18"/>
          <w:lang w:val="en-GB"/>
        </w:rPr>
        <w:t>Tabulky byly zpracovány s použitím hodnot podle HSP Solvent Blends (viz databáze https://www.stevenabbott.co.uk/practical-adhesion/hsp.php).  Údaje jsou zaznamenávány v rozsahu 0 - 100 % R1, resp. R3, dělení po 5 %.</w:t>
      </w:r>
    </w:p>
    <w:p w14:paraId="23F0D3E5" w14:textId="7E8205D0" w:rsidR="009621FA" w:rsidRPr="00EB2E2D" w:rsidRDefault="009621FA" w:rsidP="006A6FF6">
      <w:pPr>
        <w:pStyle w:val="Zhlav"/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EB2E2D">
        <w:rPr>
          <w:rFonts w:ascii="Cambria" w:hAnsi="Cambria"/>
          <w:noProof/>
          <w:sz w:val="18"/>
          <w:szCs w:val="18"/>
          <w:lang w:val="en-GB"/>
        </w:rPr>
        <w:t xml:space="preserve">Tabelované hodnoty parametrů rozpustnosti a jejich rozdílu se odečítají pro studované systémy z </w:t>
      </w:r>
      <w:r w:rsidR="00EB2E2D" w:rsidRPr="00EB2E2D">
        <w:rPr>
          <w:rFonts w:ascii="Cambria" w:hAnsi="Cambria"/>
          <w:noProof/>
          <w:sz w:val="18"/>
          <w:szCs w:val="18"/>
          <w:lang w:val="en-GB"/>
        </w:rPr>
        <w:t xml:space="preserve">údajů databáze a zpracují do </w:t>
      </w:r>
      <w:r w:rsidRPr="00EB2E2D">
        <w:rPr>
          <w:rFonts w:ascii="Cambria" w:hAnsi="Cambria"/>
          <w:noProof/>
          <w:sz w:val="18"/>
          <w:szCs w:val="18"/>
          <w:lang w:val="en-GB"/>
        </w:rPr>
        <w:t xml:space="preserve">tabulek 1 a 2. V tabulce 1 </w:t>
      </w:r>
      <w:r w:rsidR="00EB2E2D" w:rsidRPr="00EB2E2D">
        <w:rPr>
          <w:rFonts w:ascii="Cambria" w:hAnsi="Cambria"/>
          <w:noProof/>
          <w:sz w:val="18"/>
          <w:szCs w:val="18"/>
          <w:lang w:val="en-GB"/>
        </w:rPr>
        <w:t>se</w:t>
      </w:r>
      <w:r w:rsidRPr="00EB2E2D">
        <w:rPr>
          <w:rFonts w:ascii="Cambria" w:hAnsi="Cambria"/>
          <w:noProof/>
          <w:sz w:val="18"/>
          <w:szCs w:val="18"/>
          <w:lang w:val="en-GB"/>
        </w:rPr>
        <w:t xml:space="preserve"> uv</w:t>
      </w:r>
      <w:r w:rsidR="00EB2E2D" w:rsidRPr="00EB2E2D">
        <w:rPr>
          <w:rFonts w:ascii="Cambria" w:hAnsi="Cambria"/>
          <w:noProof/>
          <w:sz w:val="18"/>
          <w:szCs w:val="18"/>
          <w:lang w:val="en-GB"/>
        </w:rPr>
        <w:t xml:space="preserve">ádí </w:t>
      </w:r>
      <w:r w:rsidRPr="00EB2E2D">
        <w:rPr>
          <w:rFonts w:ascii="Cambria" w:hAnsi="Cambria"/>
          <w:noProof/>
          <w:sz w:val="18"/>
          <w:szCs w:val="18"/>
          <w:lang w:val="en-GB"/>
        </w:rPr>
        <w:t xml:space="preserve">údaje </w:t>
      </w:r>
      <w:r w:rsidR="00347D0D" w:rsidRPr="00EB2E2D">
        <w:rPr>
          <w:rFonts w:ascii="Cambria" w:hAnsi="Cambria"/>
          <w:noProof/>
          <w:sz w:val="18"/>
          <w:szCs w:val="18"/>
          <w:lang w:val="en-GB"/>
        </w:rPr>
        <w:t xml:space="preserve">Ra </w:t>
      </w:r>
      <w:r w:rsidRPr="00EB2E2D">
        <w:rPr>
          <w:rFonts w:ascii="Cambria" w:hAnsi="Cambria"/>
          <w:noProof/>
          <w:sz w:val="18"/>
          <w:szCs w:val="18"/>
          <w:lang w:val="en-GB"/>
        </w:rPr>
        <w:t>pro systém voda (R1) – etanol (R2) – PET</w:t>
      </w:r>
      <w:r w:rsidR="00EB2E2D" w:rsidRPr="00EB2E2D">
        <w:rPr>
          <w:rFonts w:ascii="Cambria" w:hAnsi="Cambria"/>
          <w:noProof/>
          <w:sz w:val="18"/>
          <w:szCs w:val="18"/>
          <w:lang w:val="en-GB"/>
        </w:rPr>
        <w:t xml:space="preserve">, do tabulky 2 údaje </w:t>
      </w:r>
      <w:r w:rsidR="008005FD">
        <w:rPr>
          <w:rFonts w:ascii="Cambria" w:hAnsi="Cambria"/>
          <w:noProof/>
          <w:sz w:val="18"/>
          <w:szCs w:val="18"/>
          <w:lang w:val="en-GB"/>
        </w:rPr>
        <w:t xml:space="preserve">HSP a </w:t>
      </w:r>
      <w:r w:rsidR="00347D0D" w:rsidRPr="00EB2E2D">
        <w:rPr>
          <w:rFonts w:ascii="Cambria" w:hAnsi="Cambria"/>
          <w:noProof/>
          <w:sz w:val="18"/>
          <w:szCs w:val="18"/>
          <w:lang w:val="en-GB"/>
        </w:rPr>
        <w:t xml:space="preserve">Ra </w:t>
      </w:r>
      <w:r w:rsidRPr="00EB2E2D">
        <w:rPr>
          <w:rFonts w:ascii="Cambria" w:hAnsi="Cambria"/>
          <w:noProof/>
          <w:sz w:val="18"/>
          <w:szCs w:val="18"/>
          <w:lang w:val="en-GB"/>
        </w:rPr>
        <w:t xml:space="preserve">pro systém aceton (R3) – xylen (R4) – PET. </w:t>
      </w:r>
    </w:p>
    <w:p w14:paraId="7CF48C66" w14:textId="77777777" w:rsidR="009621FA" w:rsidRPr="00EB2E2D" w:rsidRDefault="009621FA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</w:p>
    <w:p w14:paraId="37641707" w14:textId="6C11ABB1" w:rsidR="0024768A" w:rsidRPr="00EB2E2D" w:rsidRDefault="009621FA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  <w:r w:rsidRPr="00EB2E2D">
        <w:rPr>
          <w:rFonts w:ascii="Cambria" w:hAnsi="Cambria"/>
          <w:b/>
          <w:noProof/>
          <w:sz w:val="18"/>
          <w:szCs w:val="18"/>
          <w:lang w:val="en-GB"/>
        </w:rPr>
        <w:t>Grafické zpracování výsledků</w:t>
      </w:r>
    </w:p>
    <w:p w14:paraId="705E629F" w14:textId="056EA546" w:rsidR="00FE2A52" w:rsidRPr="00EB2E2D" w:rsidRDefault="009621FA" w:rsidP="00347D0D">
      <w:pPr>
        <w:pStyle w:val="Zhlav"/>
        <w:spacing w:before="120" w:line="288" w:lineRule="auto"/>
        <w:jc w:val="both"/>
        <w:rPr>
          <w:rFonts w:ascii="Cambria" w:hAnsi="Cambria"/>
          <w:noProof/>
          <w:sz w:val="18"/>
          <w:szCs w:val="18"/>
        </w:rPr>
      </w:pPr>
      <w:r w:rsidRPr="00EB2E2D">
        <w:rPr>
          <w:rFonts w:ascii="Cambria" w:hAnsi="Cambria"/>
          <w:noProof/>
          <w:sz w:val="18"/>
          <w:szCs w:val="18"/>
        </w:rPr>
        <w:t xml:space="preserve">Tabelované hodnoty parametrů rozpustnosti a jejich rozdílu, odečtené pro studované systémy z tabulek 1 a </w:t>
      </w:r>
      <w:r w:rsidR="00347D0D" w:rsidRPr="00EB2E2D">
        <w:rPr>
          <w:rFonts w:ascii="Cambria" w:hAnsi="Cambria"/>
          <w:noProof/>
          <w:sz w:val="18"/>
          <w:szCs w:val="18"/>
        </w:rPr>
        <w:t>2</w:t>
      </w:r>
      <w:r w:rsidRPr="00EB2E2D">
        <w:rPr>
          <w:rFonts w:ascii="Cambria" w:hAnsi="Cambria"/>
          <w:noProof/>
          <w:sz w:val="18"/>
          <w:szCs w:val="18"/>
        </w:rPr>
        <w:t xml:space="preserve"> se zpracují ve formě grafické závislosti Ra = f (R1; R2), Ra = f (R3; R4), Ra = f (R4; R5) Údaje z tabulky 1 a 2 se zpracují do grafu společně</w:t>
      </w:r>
      <w:r w:rsidR="00EB2E2D" w:rsidRPr="00EB2E2D">
        <w:rPr>
          <w:rFonts w:ascii="Cambria" w:hAnsi="Cambria"/>
          <w:noProof/>
          <w:sz w:val="18"/>
          <w:szCs w:val="18"/>
        </w:rPr>
        <w:t xml:space="preserve"> a porovná odolnost PET v obou směsích rozpouštědel.</w:t>
      </w:r>
      <w:r w:rsidR="00FE2A52" w:rsidRPr="00EB2E2D">
        <w:rPr>
          <w:rFonts w:ascii="Cambria" w:hAnsi="Cambria"/>
          <w:noProof/>
          <w:sz w:val="18"/>
          <w:szCs w:val="18"/>
        </w:rPr>
        <w:t xml:space="preserve">                                           </w:t>
      </w:r>
    </w:p>
    <w:p w14:paraId="6FE6C93F" w14:textId="77777777" w:rsidR="00FE2A52" w:rsidRPr="00EB2E2D" w:rsidRDefault="00FE2A52" w:rsidP="00550147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</w:p>
    <w:p w14:paraId="12D835C7" w14:textId="021D34E3" w:rsidR="00FE2A52" w:rsidRPr="00EB2E2D" w:rsidRDefault="006A6FF6" w:rsidP="00FE2A52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  <w:r w:rsidRPr="00EB2E2D">
        <w:rPr>
          <w:rFonts w:ascii="Cambria" w:hAnsi="Cambria"/>
          <w:b/>
          <w:noProof/>
          <w:sz w:val="18"/>
          <w:szCs w:val="18"/>
          <w:lang w:val="en-GB"/>
        </w:rPr>
        <w:t>Grafická část</w:t>
      </w:r>
    </w:p>
    <w:p w14:paraId="5EC1BE3D" w14:textId="77777777" w:rsidR="003605E0" w:rsidRPr="00EB2E2D" w:rsidRDefault="003605E0" w:rsidP="00550147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</w:p>
    <w:p w14:paraId="5F5A6E05" w14:textId="114CB909" w:rsidR="00550147" w:rsidRPr="00EB2E2D" w:rsidRDefault="00550147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EB2E2D">
        <w:rPr>
          <w:rFonts w:ascii="Cambria" w:hAnsi="Cambria"/>
          <w:b/>
          <w:noProof/>
          <w:sz w:val="18"/>
          <w:szCs w:val="18"/>
          <w:lang w:val="en-GB"/>
        </w:rPr>
        <w:t xml:space="preserve"> </w:t>
      </w:r>
      <w:r w:rsidRPr="00EB2E2D">
        <w:rPr>
          <w:rFonts w:ascii="Cambria" w:hAnsi="Cambria"/>
          <w:noProof/>
          <w:sz w:val="18"/>
          <w:szCs w:val="18"/>
          <w:lang w:val="en-GB"/>
        </w:rPr>
        <w:t xml:space="preserve">   </w:t>
      </w:r>
      <w:r w:rsidR="00347D0D" w:rsidRPr="00EB2E2D">
        <w:rPr>
          <w:rFonts w:ascii="Cambria" w:hAnsi="Cambria"/>
          <w:noProof/>
          <w:sz w:val="18"/>
          <w:szCs w:val="18"/>
          <w:lang w:val="en-GB"/>
        </w:rPr>
        <w:t>Viz příloha 1.</w:t>
      </w:r>
    </w:p>
    <w:p w14:paraId="5E1D052B" w14:textId="77777777" w:rsidR="003605E0" w:rsidRDefault="003605E0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59119E50" w14:textId="5620704A" w:rsidR="00E341DA" w:rsidRPr="009860AD" w:rsidRDefault="003605E0" w:rsidP="000E6292">
      <w:pPr>
        <w:pStyle w:val="Zhlav"/>
        <w:spacing w:line="288" w:lineRule="auto"/>
        <w:jc w:val="both"/>
        <w:rPr>
          <w:color w:val="0070C0"/>
          <w:sz w:val="28"/>
          <w:szCs w:val="28"/>
          <w:lang w:val="cs-CZ"/>
        </w:rPr>
      </w:pPr>
      <w:r>
        <w:rPr>
          <w:rFonts w:ascii="Cambria" w:hAnsi="Cambria"/>
          <w:noProof/>
          <w:sz w:val="18"/>
          <w:szCs w:val="18"/>
          <w:lang w:val="en-GB"/>
        </w:rPr>
        <w:t xml:space="preserve"> </w:t>
      </w:r>
      <w:r w:rsidR="003A17FC"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14CDB313" wp14:editId="325BADD4">
            <wp:extent cx="336550" cy="336550"/>
            <wp:effectExtent l="0" t="0" r="6350" b="6350"/>
            <wp:docPr id="3" name="Obrázek 3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7FC">
        <w:rPr>
          <w:rFonts w:asciiTheme="majorHAnsi" w:hAnsiTheme="majorHAnsi"/>
          <w:color w:val="0070C0"/>
          <w:sz w:val="24"/>
          <w:szCs w:val="24"/>
          <w:lang w:val="cs-CZ"/>
        </w:rPr>
        <w:t xml:space="preserve">   </w:t>
      </w:r>
      <w:r w:rsidR="0024768A">
        <w:rPr>
          <w:rFonts w:asciiTheme="majorHAnsi" w:hAnsiTheme="majorHAnsi"/>
          <w:b/>
          <w:color w:val="0070C0"/>
          <w:lang w:val="cs-CZ"/>
        </w:rPr>
        <w:t>Souhrn výsledků a z</w:t>
      </w:r>
      <w:r w:rsidR="00E341DA" w:rsidRPr="00553579">
        <w:rPr>
          <w:rFonts w:asciiTheme="majorHAnsi" w:hAnsiTheme="majorHAnsi"/>
          <w:b/>
          <w:color w:val="0070C0"/>
          <w:lang w:val="cs-CZ"/>
        </w:rPr>
        <w:t>ávěr</w:t>
      </w:r>
      <w:r w:rsidR="00E341DA" w:rsidRPr="00553579">
        <w:rPr>
          <w:b/>
          <w:color w:val="0070C0"/>
          <w:lang w:val="cs-CZ"/>
        </w:rPr>
        <w:t xml:space="preserve"> </w:t>
      </w:r>
      <w:r w:rsidR="003922E1">
        <w:rPr>
          <w:color w:val="0070C0"/>
        </w:rPr>
        <w:pict w14:anchorId="3773D4E5">
          <v:rect id="_x0000_i1026" style="width:450pt;height:.5pt" o:hrstd="t" o:hrnoshade="t" o:hr="t" fillcolor="#0070c0" stroked="f"/>
        </w:pict>
      </w:r>
    </w:p>
    <w:p w14:paraId="7F6FDCCC" w14:textId="13E80D72" w:rsidR="0024768A" w:rsidRDefault="0024768A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  <w:r w:rsidRPr="001E7FED">
        <w:rPr>
          <w:rFonts w:ascii="Cambria" w:hAnsi="Cambria"/>
          <w:b/>
          <w:noProof/>
          <w:sz w:val="18"/>
          <w:szCs w:val="18"/>
          <w:lang w:val="cs-CZ"/>
        </w:rPr>
        <w:t>Výsledky praktického cvičení:</w:t>
      </w:r>
    </w:p>
    <w:p w14:paraId="48587AEC" w14:textId="77777777" w:rsidR="00347D0D" w:rsidRDefault="00347D0D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54908363" w14:textId="1E240760" w:rsidR="00FD7ECA" w:rsidRDefault="00347D0D" w:rsidP="00347D0D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  <w:r>
        <w:rPr>
          <w:rFonts w:ascii="Cambria" w:hAnsi="Cambria"/>
          <w:b/>
          <w:noProof/>
          <w:sz w:val="18"/>
          <w:szCs w:val="18"/>
          <w:lang w:val="cs-CZ"/>
        </w:rPr>
        <w:t>Jak je zřejmé z přílohy 1, odolnost PET polymeru je nejnižší v systému voda-etanol – PET při koncentraci etanolu … %, v systému aceton</w:t>
      </w:r>
      <w:r w:rsidR="00EB2E2D">
        <w:rPr>
          <w:rFonts w:ascii="Cambria" w:hAnsi="Cambria"/>
          <w:b/>
          <w:noProof/>
          <w:sz w:val="18"/>
          <w:szCs w:val="18"/>
          <w:lang w:val="cs-CZ"/>
        </w:rPr>
        <w:t xml:space="preserve"> – </w:t>
      </w:r>
      <w:r>
        <w:rPr>
          <w:rFonts w:ascii="Cambria" w:hAnsi="Cambria"/>
          <w:b/>
          <w:noProof/>
          <w:sz w:val="18"/>
          <w:szCs w:val="18"/>
          <w:lang w:val="cs-CZ"/>
        </w:rPr>
        <w:t>xyl</w:t>
      </w:r>
      <w:r w:rsidR="00EB2E2D">
        <w:rPr>
          <w:rFonts w:ascii="Cambria" w:hAnsi="Cambria"/>
          <w:b/>
          <w:noProof/>
          <w:sz w:val="18"/>
          <w:szCs w:val="18"/>
          <w:lang w:val="cs-CZ"/>
        </w:rPr>
        <w:t>e</w:t>
      </w:r>
      <w:r>
        <w:rPr>
          <w:rFonts w:ascii="Cambria" w:hAnsi="Cambria"/>
          <w:b/>
          <w:noProof/>
          <w:sz w:val="18"/>
          <w:szCs w:val="18"/>
          <w:lang w:val="cs-CZ"/>
        </w:rPr>
        <w:t>n</w:t>
      </w:r>
      <w:r w:rsidR="00EB2E2D">
        <w:rPr>
          <w:rFonts w:ascii="Cambria" w:hAnsi="Cambria"/>
          <w:b/>
          <w:noProof/>
          <w:sz w:val="18"/>
          <w:szCs w:val="18"/>
          <w:lang w:val="cs-CZ"/>
        </w:rPr>
        <w:t xml:space="preserve"> </w:t>
      </w:r>
      <w:r>
        <w:rPr>
          <w:rFonts w:ascii="Cambria" w:hAnsi="Cambria"/>
          <w:b/>
          <w:noProof/>
          <w:sz w:val="18"/>
          <w:szCs w:val="18"/>
          <w:lang w:val="cs-CZ"/>
        </w:rPr>
        <w:t>-</w:t>
      </w:r>
      <w:r w:rsidR="00EB2E2D">
        <w:rPr>
          <w:rFonts w:ascii="Cambria" w:hAnsi="Cambria"/>
          <w:b/>
          <w:noProof/>
          <w:sz w:val="18"/>
          <w:szCs w:val="18"/>
          <w:lang w:val="cs-CZ"/>
        </w:rPr>
        <w:t xml:space="preserve"> </w:t>
      </w:r>
      <w:r>
        <w:rPr>
          <w:rFonts w:ascii="Cambria" w:hAnsi="Cambria"/>
          <w:b/>
          <w:noProof/>
          <w:sz w:val="18"/>
          <w:szCs w:val="18"/>
          <w:lang w:val="cs-CZ"/>
        </w:rPr>
        <w:t>PET při koncentraci acetonu … %.</w:t>
      </w:r>
      <w:r w:rsidR="00EB2E2D">
        <w:rPr>
          <w:rFonts w:ascii="Cambria" w:hAnsi="Cambria"/>
          <w:b/>
          <w:noProof/>
          <w:sz w:val="18"/>
          <w:szCs w:val="18"/>
          <w:lang w:val="cs-CZ"/>
        </w:rPr>
        <w:t xml:space="preserve"> </w:t>
      </w:r>
    </w:p>
    <w:p w14:paraId="673BB07C" w14:textId="3FCAFB64" w:rsidR="00EB2E2D" w:rsidRDefault="00EB2E2D" w:rsidP="00347D0D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5B34AFB9" w14:textId="77777777" w:rsidR="00783B8A" w:rsidRDefault="00783B8A" w:rsidP="00347D0D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</w:p>
    <w:p w14:paraId="691B0F94" w14:textId="6AC32378" w:rsidR="00EB2E2D" w:rsidRDefault="00EB2E2D" w:rsidP="00347D0D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  <w:r w:rsidRPr="00EB2E2D">
        <w:rPr>
          <w:rFonts w:ascii="Cambria" w:hAnsi="Cambria"/>
          <w:b/>
          <w:i/>
          <w:noProof/>
          <w:sz w:val="18"/>
          <w:szCs w:val="18"/>
          <w:lang w:val="cs-CZ"/>
        </w:rPr>
        <w:t>Vzor zpracování tabulky</w:t>
      </w:r>
    </w:p>
    <w:p w14:paraId="0BCFF8A2" w14:textId="179DBC6E" w:rsidR="00EB2E2D" w:rsidRDefault="00EB2E2D" w:rsidP="00347D0D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</w:p>
    <w:p w14:paraId="1952972A" w14:textId="6E59CF54" w:rsidR="00821D06" w:rsidRPr="00821D06" w:rsidRDefault="00821D06" w:rsidP="00347D0D">
      <w:pPr>
        <w:pStyle w:val="Zhlav"/>
        <w:spacing w:line="288" w:lineRule="auto"/>
        <w:jc w:val="both"/>
        <w:rPr>
          <w:rFonts w:ascii="Cambria" w:hAnsi="Cambria"/>
          <w:i/>
          <w:noProof/>
          <w:sz w:val="16"/>
          <w:szCs w:val="16"/>
          <w:lang w:val="cs-CZ"/>
        </w:rPr>
      </w:pPr>
      <w:r w:rsidRPr="00821D06">
        <w:rPr>
          <w:rFonts w:ascii="Cambria" w:hAnsi="Cambria"/>
          <w:i/>
          <w:noProof/>
          <w:sz w:val="16"/>
          <w:szCs w:val="16"/>
          <w:lang w:val="cs-CZ"/>
        </w:rPr>
        <w:t>Tab. 1</w:t>
      </w:r>
    </w:p>
    <w:tbl>
      <w:tblPr>
        <w:tblStyle w:val="SOWTable"/>
        <w:tblW w:w="8802" w:type="dxa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</w:tblGrid>
      <w:tr w:rsidR="00783B8A" w14:paraId="415FE58B" w14:textId="77777777" w:rsidTr="0078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345A7D87" w14:textId="79BC7683" w:rsidR="00783B8A" w:rsidRPr="008005FD" w:rsidRDefault="00783B8A" w:rsidP="00783B8A">
            <w:pPr>
              <w:pStyle w:val="Zhlav"/>
              <w:spacing w:line="288" w:lineRule="auto"/>
              <w:jc w:val="center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 w:rsidRPr="008005FD"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Rozpouštědlo</w:t>
            </w: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 xml:space="preserve"> R1 (%)</w:t>
            </w:r>
          </w:p>
        </w:tc>
        <w:tc>
          <w:tcPr>
            <w:tcW w:w="1760" w:type="dxa"/>
            <w:shd w:val="clear" w:color="auto" w:fill="auto"/>
          </w:tcPr>
          <w:p w14:paraId="0E8E79B0" w14:textId="3265A901" w:rsidR="00783B8A" w:rsidRPr="008005FD" w:rsidRDefault="00783B8A" w:rsidP="00783B8A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Rozpouštědlo R2 (%)</w:t>
            </w:r>
          </w:p>
        </w:tc>
        <w:tc>
          <w:tcPr>
            <w:tcW w:w="1760" w:type="dxa"/>
            <w:shd w:val="clear" w:color="auto" w:fill="auto"/>
          </w:tcPr>
          <w:p w14:paraId="0ADF2005" w14:textId="2144B541" w:rsidR="00783B8A" w:rsidRPr="008005FD" w:rsidRDefault="00783B8A" w:rsidP="00783B8A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Polymer</w:t>
            </w:r>
          </w:p>
        </w:tc>
        <w:tc>
          <w:tcPr>
            <w:tcW w:w="1761" w:type="dxa"/>
            <w:tcBorders>
              <w:top w:val="single" w:sz="4" w:space="0" w:color="BCB8AC" w:themeColor="text2" w:themeTint="66"/>
              <w:bottom w:val="nil"/>
            </w:tcBorders>
            <w:shd w:val="clear" w:color="auto" w:fill="auto"/>
          </w:tcPr>
          <w:p w14:paraId="770C3837" w14:textId="429B1F95" w:rsidR="00783B8A" w:rsidRDefault="00783B8A" w:rsidP="00783B8A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Ra</w:t>
            </w:r>
          </w:p>
        </w:tc>
        <w:tc>
          <w:tcPr>
            <w:tcW w:w="1761" w:type="dxa"/>
            <w:shd w:val="clear" w:color="auto" w:fill="auto"/>
          </w:tcPr>
          <w:p w14:paraId="2CDC1372" w14:textId="6E5586C3" w:rsidR="00783B8A" w:rsidRPr="008005FD" w:rsidRDefault="00783B8A" w:rsidP="00783B8A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Poznámka</w:t>
            </w:r>
          </w:p>
        </w:tc>
      </w:tr>
      <w:tr w:rsidR="00783B8A" w14:paraId="4F86FA30" w14:textId="77777777" w:rsidTr="00783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6F5D479" w14:textId="4A5C61F3" w:rsidR="00783B8A" w:rsidRPr="008005FD" w:rsidRDefault="00783B8A" w:rsidP="00783B8A">
            <w:pPr>
              <w:pStyle w:val="Zhlav"/>
              <w:spacing w:line="288" w:lineRule="auto"/>
              <w:jc w:val="center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voda</w:t>
            </w:r>
          </w:p>
        </w:tc>
        <w:tc>
          <w:tcPr>
            <w:tcW w:w="1760" w:type="dxa"/>
            <w:shd w:val="clear" w:color="auto" w:fill="auto"/>
          </w:tcPr>
          <w:p w14:paraId="6FE4EAAA" w14:textId="345633EF" w:rsidR="00783B8A" w:rsidRPr="008005FD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>etanol</w:t>
            </w:r>
          </w:p>
        </w:tc>
        <w:tc>
          <w:tcPr>
            <w:tcW w:w="1760" w:type="dxa"/>
            <w:shd w:val="clear" w:color="auto" w:fill="auto"/>
          </w:tcPr>
          <w:p w14:paraId="3C0B6B40" w14:textId="6FE2F626" w:rsidR="00783B8A" w:rsidRPr="008005FD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>PET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5FC6F132" w14:textId="77777777" w:rsidR="00783B8A" w:rsidRPr="008005FD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1D1E5AE2" w14:textId="2AD59BCE" w:rsidR="00783B8A" w:rsidRPr="008005FD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</w:p>
        </w:tc>
      </w:tr>
      <w:tr w:rsidR="00783B8A" w14:paraId="26EECDC7" w14:textId="77777777" w:rsidTr="00783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0838E140" w14:textId="186D0E80" w:rsidR="00783B8A" w:rsidRPr="00821D06" w:rsidRDefault="00783B8A" w:rsidP="00783B8A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Cs w:val="16"/>
                <w:lang w:val="cs-CZ"/>
              </w:rPr>
              <w:t>0</w:t>
            </w:r>
          </w:p>
        </w:tc>
        <w:tc>
          <w:tcPr>
            <w:tcW w:w="1760" w:type="dxa"/>
            <w:shd w:val="clear" w:color="auto" w:fill="auto"/>
          </w:tcPr>
          <w:p w14:paraId="0926179D" w14:textId="2D692929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100</w:t>
            </w:r>
          </w:p>
        </w:tc>
        <w:tc>
          <w:tcPr>
            <w:tcW w:w="1760" w:type="dxa"/>
            <w:shd w:val="clear" w:color="auto" w:fill="auto"/>
          </w:tcPr>
          <w:p w14:paraId="1564A0D4" w14:textId="77777777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5A533581" w14:textId="54176295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13,9</w:t>
            </w:r>
          </w:p>
        </w:tc>
        <w:tc>
          <w:tcPr>
            <w:tcW w:w="1761" w:type="dxa"/>
            <w:shd w:val="clear" w:color="auto" w:fill="auto"/>
          </w:tcPr>
          <w:p w14:paraId="507AA0BC" w14:textId="6E1FF051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783B8A" w14:paraId="1BA15CAD" w14:textId="77777777" w:rsidTr="00783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40C7F15A" w14:textId="2B65CAFE" w:rsidR="00783B8A" w:rsidRPr="00821D06" w:rsidRDefault="00783B8A" w:rsidP="00783B8A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Cs w:val="16"/>
                <w:lang w:val="cs-CZ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14:paraId="5182D898" w14:textId="77320A8B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95</w:t>
            </w:r>
          </w:p>
        </w:tc>
        <w:tc>
          <w:tcPr>
            <w:tcW w:w="1760" w:type="dxa"/>
            <w:shd w:val="clear" w:color="auto" w:fill="auto"/>
          </w:tcPr>
          <w:p w14:paraId="23BC2353" w14:textId="77777777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258EAB1C" w14:textId="202DC499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15,0</w:t>
            </w:r>
          </w:p>
        </w:tc>
        <w:tc>
          <w:tcPr>
            <w:tcW w:w="1761" w:type="dxa"/>
            <w:shd w:val="clear" w:color="auto" w:fill="auto"/>
          </w:tcPr>
          <w:p w14:paraId="03A3F468" w14:textId="45388D39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783B8A" w14:paraId="5D9426B4" w14:textId="77777777" w:rsidTr="00783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0F855AAB" w14:textId="02A50078" w:rsidR="00783B8A" w:rsidRPr="00821D06" w:rsidRDefault="00783B8A" w:rsidP="00783B8A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atd</w:t>
            </w:r>
          </w:p>
        </w:tc>
        <w:tc>
          <w:tcPr>
            <w:tcW w:w="1760" w:type="dxa"/>
            <w:shd w:val="clear" w:color="auto" w:fill="auto"/>
          </w:tcPr>
          <w:p w14:paraId="09F3FA49" w14:textId="77777777" w:rsidR="00783B8A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0" w:type="dxa"/>
            <w:shd w:val="clear" w:color="auto" w:fill="auto"/>
          </w:tcPr>
          <w:p w14:paraId="6FD583C8" w14:textId="77777777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5C5B7A01" w14:textId="77777777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6D2D7183" w14:textId="6D471E1F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783B8A" w14:paraId="75682CCB" w14:textId="77777777" w:rsidTr="00783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A7B55F3" w14:textId="3FE15435" w:rsidR="00783B8A" w:rsidRDefault="00783B8A" w:rsidP="00783B8A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100</w:t>
            </w:r>
          </w:p>
        </w:tc>
        <w:tc>
          <w:tcPr>
            <w:tcW w:w="1760" w:type="dxa"/>
            <w:shd w:val="clear" w:color="auto" w:fill="auto"/>
          </w:tcPr>
          <w:p w14:paraId="089CFEAF" w14:textId="426854CA" w:rsidR="00783B8A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0</w:t>
            </w:r>
          </w:p>
        </w:tc>
        <w:tc>
          <w:tcPr>
            <w:tcW w:w="1760" w:type="dxa"/>
            <w:shd w:val="clear" w:color="auto" w:fill="auto"/>
          </w:tcPr>
          <w:p w14:paraId="09E33249" w14:textId="77777777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tcBorders>
              <w:top w:val="nil"/>
              <w:bottom w:val="single" w:sz="4" w:space="0" w:color="BCB8AC" w:themeColor="text2" w:themeTint="66"/>
            </w:tcBorders>
            <w:shd w:val="clear" w:color="auto" w:fill="auto"/>
          </w:tcPr>
          <w:p w14:paraId="6C0CD4B8" w14:textId="356DB0FE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37,4</w:t>
            </w:r>
          </w:p>
        </w:tc>
        <w:tc>
          <w:tcPr>
            <w:tcW w:w="1761" w:type="dxa"/>
            <w:shd w:val="clear" w:color="auto" w:fill="auto"/>
          </w:tcPr>
          <w:p w14:paraId="43497DB4" w14:textId="77777777" w:rsidR="00783B8A" w:rsidRPr="00821D06" w:rsidRDefault="00783B8A" w:rsidP="00783B8A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</w:tbl>
    <w:p w14:paraId="4BC120CD" w14:textId="58CA1855" w:rsidR="00EB2E2D" w:rsidRDefault="00EB2E2D" w:rsidP="00347D0D">
      <w:pPr>
        <w:pStyle w:val="Zhlav"/>
        <w:spacing w:line="288" w:lineRule="auto"/>
        <w:jc w:val="both"/>
        <w:rPr>
          <w:rFonts w:ascii="Cambria" w:hAnsi="Cambria" w:cs="Tahoma"/>
          <w:i/>
          <w:sz w:val="18"/>
          <w:szCs w:val="18"/>
          <w:lang w:val="cs-CZ"/>
        </w:rPr>
      </w:pPr>
    </w:p>
    <w:p w14:paraId="117BC1C3" w14:textId="1C60AF49" w:rsidR="00821D06" w:rsidRPr="00821D06" w:rsidRDefault="00821D06" w:rsidP="00821D06">
      <w:pPr>
        <w:pStyle w:val="Zhlav"/>
        <w:spacing w:line="288" w:lineRule="auto"/>
        <w:jc w:val="both"/>
        <w:rPr>
          <w:rFonts w:ascii="Cambria" w:hAnsi="Cambria"/>
          <w:i/>
          <w:noProof/>
          <w:sz w:val="16"/>
          <w:szCs w:val="16"/>
          <w:lang w:val="cs-CZ"/>
        </w:rPr>
      </w:pPr>
      <w:r w:rsidRPr="00821D06">
        <w:rPr>
          <w:rFonts w:ascii="Cambria" w:hAnsi="Cambria"/>
          <w:i/>
          <w:noProof/>
          <w:sz w:val="16"/>
          <w:szCs w:val="16"/>
          <w:lang w:val="cs-CZ"/>
        </w:rPr>
        <w:t xml:space="preserve">Tab. </w:t>
      </w:r>
      <w:r>
        <w:rPr>
          <w:rFonts w:ascii="Cambria" w:hAnsi="Cambria"/>
          <w:i/>
          <w:noProof/>
          <w:sz w:val="16"/>
          <w:szCs w:val="16"/>
          <w:lang w:val="cs-CZ"/>
        </w:rPr>
        <w:t>2</w:t>
      </w: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</w:tblGrid>
      <w:tr w:rsidR="00821D06" w14:paraId="147D568D" w14:textId="77777777" w:rsidTr="00CB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53C50977" w14:textId="77777777" w:rsidR="00821D06" w:rsidRPr="008005FD" w:rsidRDefault="00821D06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 w:rsidRPr="008005FD"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Rozpouštědlo</w:t>
            </w: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 xml:space="preserve"> R1 (%)</w:t>
            </w:r>
          </w:p>
        </w:tc>
        <w:tc>
          <w:tcPr>
            <w:tcW w:w="1760" w:type="dxa"/>
            <w:shd w:val="clear" w:color="auto" w:fill="auto"/>
          </w:tcPr>
          <w:p w14:paraId="4908F9D7" w14:textId="77777777" w:rsidR="00821D06" w:rsidRPr="008005FD" w:rsidRDefault="00821D06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Rozpouštědlo R2 (%)</w:t>
            </w:r>
          </w:p>
        </w:tc>
        <w:tc>
          <w:tcPr>
            <w:tcW w:w="1760" w:type="dxa"/>
            <w:shd w:val="clear" w:color="auto" w:fill="auto"/>
          </w:tcPr>
          <w:p w14:paraId="78657E40" w14:textId="77777777" w:rsidR="00821D06" w:rsidRPr="008005FD" w:rsidRDefault="00821D06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Polymer</w:t>
            </w:r>
          </w:p>
        </w:tc>
        <w:tc>
          <w:tcPr>
            <w:tcW w:w="1761" w:type="dxa"/>
            <w:shd w:val="clear" w:color="auto" w:fill="auto"/>
          </w:tcPr>
          <w:p w14:paraId="68A95296" w14:textId="08ED4EE6" w:rsidR="00821D06" w:rsidRPr="008005FD" w:rsidRDefault="00783B8A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Ra</w:t>
            </w:r>
          </w:p>
        </w:tc>
        <w:tc>
          <w:tcPr>
            <w:tcW w:w="1761" w:type="dxa"/>
            <w:shd w:val="clear" w:color="auto" w:fill="auto"/>
          </w:tcPr>
          <w:p w14:paraId="42D22FB7" w14:textId="751BB6DE" w:rsidR="00821D06" w:rsidRPr="008005FD" w:rsidRDefault="00783B8A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Poznámka</w:t>
            </w:r>
          </w:p>
        </w:tc>
      </w:tr>
      <w:tr w:rsidR="00821D06" w14:paraId="7A3D9B89" w14:textId="77777777" w:rsidTr="00CB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276E153F" w14:textId="3ECDACE9" w:rsidR="00821D06" w:rsidRPr="008005FD" w:rsidRDefault="00821D06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Aceton</w:t>
            </w:r>
          </w:p>
        </w:tc>
        <w:tc>
          <w:tcPr>
            <w:tcW w:w="1760" w:type="dxa"/>
            <w:shd w:val="clear" w:color="auto" w:fill="auto"/>
          </w:tcPr>
          <w:p w14:paraId="4531EA4D" w14:textId="02A7F94D" w:rsidR="00821D06" w:rsidRPr="008005FD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>xylen</w:t>
            </w:r>
          </w:p>
        </w:tc>
        <w:tc>
          <w:tcPr>
            <w:tcW w:w="1760" w:type="dxa"/>
            <w:shd w:val="clear" w:color="auto" w:fill="auto"/>
          </w:tcPr>
          <w:p w14:paraId="26F672B4" w14:textId="77777777" w:rsidR="00821D06" w:rsidRPr="008005FD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>PET</w:t>
            </w:r>
          </w:p>
        </w:tc>
        <w:tc>
          <w:tcPr>
            <w:tcW w:w="1761" w:type="dxa"/>
            <w:shd w:val="clear" w:color="auto" w:fill="auto"/>
          </w:tcPr>
          <w:p w14:paraId="579B17FD" w14:textId="77777777" w:rsidR="00821D06" w:rsidRPr="008005FD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73F43261" w14:textId="77777777" w:rsidR="00821D06" w:rsidRPr="008005FD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</w:p>
        </w:tc>
      </w:tr>
      <w:tr w:rsidR="00821D06" w14:paraId="2B1FC461" w14:textId="77777777" w:rsidTr="00CB3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2884D0FB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Cs w:val="16"/>
                <w:lang w:val="cs-CZ"/>
              </w:rPr>
              <w:t>0</w:t>
            </w:r>
          </w:p>
        </w:tc>
        <w:tc>
          <w:tcPr>
            <w:tcW w:w="1760" w:type="dxa"/>
            <w:shd w:val="clear" w:color="auto" w:fill="auto"/>
          </w:tcPr>
          <w:p w14:paraId="0A51EA8E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100</w:t>
            </w:r>
          </w:p>
        </w:tc>
        <w:tc>
          <w:tcPr>
            <w:tcW w:w="1760" w:type="dxa"/>
            <w:shd w:val="clear" w:color="auto" w:fill="auto"/>
          </w:tcPr>
          <w:p w14:paraId="039FF400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2A605022" w14:textId="310C3B6F" w:rsidR="00821D06" w:rsidRPr="00821D06" w:rsidRDefault="00783B8A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6,5</w:t>
            </w:r>
          </w:p>
        </w:tc>
        <w:tc>
          <w:tcPr>
            <w:tcW w:w="1761" w:type="dxa"/>
            <w:shd w:val="clear" w:color="auto" w:fill="auto"/>
          </w:tcPr>
          <w:p w14:paraId="4BEF01AA" w14:textId="33D79E85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821D06" w14:paraId="3D97102B" w14:textId="77777777" w:rsidTr="00CB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7CBD8D1C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 w:rsidRPr="00821D06">
              <w:rPr>
                <w:rFonts w:ascii="Cambria" w:hAnsi="Cambria" w:cs="Tahoma"/>
                <w:color w:val="auto"/>
                <w:szCs w:val="16"/>
                <w:lang w:val="cs-CZ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14:paraId="0EDB5D24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95</w:t>
            </w:r>
          </w:p>
        </w:tc>
        <w:tc>
          <w:tcPr>
            <w:tcW w:w="1760" w:type="dxa"/>
            <w:shd w:val="clear" w:color="auto" w:fill="auto"/>
          </w:tcPr>
          <w:p w14:paraId="1090EC32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22C203E5" w14:textId="1841EAC1" w:rsidR="00821D06" w:rsidRPr="00821D06" w:rsidRDefault="00783B8A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6,1</w:t>
            </w:r>
          </w:p>
        </w:tc>
        <w:tc>
          <w:tcPr>
            <w:tcW w:w="1761" w:type="dxa"/>
            <w:shd w:val="clear" w:color="auto" w:fill="auto"/>
          </w:tcPr>
          <w:p w14:paraId="081C37D8" w14:textId="71E914D4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821D06" w14:paraId="284E3286" w14:textId="77777777" w:rsidTr="00CB32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67540C06" w14:textId="18531D33" w:rsidR="00821D06" w:rsidRPr="00821D06" w:rsidRDefault="00821D06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atd</w:t>
            </w:r>
          </w:p>
        </w:tc>
        <w:tc>
          <w:tcPr>
            <w:tcW w:w="1760" w:type="dxa"/>
            <w:shd w:val="clear" w:color="auto" w:fill="auto"/>
          </w:tcPr>
          <w:p w14:paraId="1E5E2A2F" w14:textId="77777777" w:rsid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0" w:type="dxa"/>
            <w:shd w:val="clear" w:color="auto" w:fill="auto"/>
          </w:tcPr>
          <w:p w14:paraId="1D85050C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131F6B23" w14:textId="77777777" w:rsidR="00821D06" w:rsidRP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375DE606" w14:textId="77777777" w:rsidR="00821D06" w:rsidRDefault="00821D06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783B8A" w14:paraId="58FB4998" w14:textId="77777777" w:rsidTr="00CB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7E53A31" w14:textId="6B71567A" w:rsidR="00783B8A" w:rsidRDefault="00783B8A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100</w:t>
            </w:r>
          </w:p>
        </w:tc>
        <w:tc>
          <w:tcPr>
            <w:tcW w:w="1760" w:type="dxa"/>
            <w:shd w:val="clear" w:color="auto" w:fill="auto"/>
          </w:tcPr>
          <w:p w14:paraId="4FF62D16" w14:textId="760F7955" w:rsidR="00783B8A" w:rsidRDefault="00783B8A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0</w:t>
            </w:r>
          </w:p>
        </w:tc>
        <w:tc>
          <w:tcPr>
            <w:tcW w:w="1760" w:type="dxa"/>
            <w:shd w:val="clear" w:color="auto" w:fill="auto"/>
          </w:tcPr>
          <w:p w14:paraId="322C832E" w14:textId="77777777" w:rsidR="00783B8A" w:rsidRPr="00821D06" w:rsidRDefault="00783B8A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  <w:tc>
          <w:tcPr>
            <w:tcW w:w="1761" w:type="dxa"/>
            <w:shd w:val="clear" w:color="auto" w:fill="auto"/>
          </w:tcPr>
          <w:p w14:paraId="70B13B8C" w14:textId="17D7B24B" w:rsidR="00783B8A" w:rsidRPr="00821D06" w:rsidRDefault="00783B8A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6,7</w:t>
            </w:r>
          </w:p>
        </w:tc>
        <w:tc>
          <w:tcPr>
            <w:tcW w:w="1761" w:type="dxa"/>
            <w:shd w:val="clear" w:color="auto" w:fill="auto"/>
          </w:tcPr>
          <w:p w14:paraId="5A4660C5" w14:textId="77777777" w:rsidR="00783B8A" w:rsidRDefault="00783B8A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</w:tbl>
    <w:p w14:paraId="5AF4F6F3" w14:textId="77777777" w:rsidR="00821D06" w:rsidRPr="00EB2E2D" w:rsidRDefault="00821D06" w:rsidP="00821D06">
      <w:pPr>
        <w:pStyle w:val="Zhlav"/>
        <w:spacing w:line="288" w:lineRule="auto"/>
        <w:jc w:val="both"/>
        <w:rPr>
          <w:rFonts w:ascii="Cambria" w:hAnsi="Cambria" w:cs="Tahoma"/>
          <w:i/>
          <w:sz w:val="18"/>
          <w:szCs w:val="18"/>
          <w:lang w:val="cs-CZ"/>
        </w:rPr>
      </w:pPr>
    </w:p>
    <w:p w14:paraId="72FE535A" w14:textId="21D09C2F" w:rsidR="00821D06" w:rsidRDefault="00821D06" w:rsidP="00821D06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</w:p>
    <w:p w14:paraId="5B046D8C" w14:textId="77777777" w:rsidR="00821D06" w:rsidRDefault="00821D06" w:rsidP="00821D06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</w:p>
    <w:p w14:paraId="71FBA339" w14:textId="5DB1B4B8" w:rsidR="00821D06" w:rsidRDefault="00821D06" w:rsidP="00821D06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</w:p>
    <w:p w14:paraId="056EF028" w14:textId="77777777" w:rsidR="00821D06" w:rsidRPr="00821D06" w:rsidRDefault="00821D06" w:rsidP="00821D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7F69B1F1" w14:textId="77777777" w:rsidR="00821D06" w:rsidRDefault="00821D06" w:rsidP="00821D06">
      <w:pPr>
        <w:pStyle w:val="Zhlav"/>
        <w:spacing w:line="288" w:lineRule="auto"/>
        <w:jc w:val="both"/>
        <w:rPr>
          <w:rFonts w:ascii="Cambria" w:hAnsi="Cambria"/>
          <w:b/>
          <w:i/>
          <w:noProof/>
          <w:sz w:val="18"/>
          <w:szCs w:val="18"/>
          <w:lang w:val="cs-CZ"/>
        </w:rPr>
      </w:pPr>
    </w:p>
    <w:p w14:paraId="5C144A85" w14:textId="77777777" w:rsidR="00821D06" w:rsidRPr="00EB2E2D" w:rsidRDefault="00821D06" w:rsidP="00347D0D">
      <w:pPr>
        <w:pStyle w:val="Zhlav"/>
        <w:spacing w:line="288" w:lineRule="auto"/>
        <w:jc w:val="both"/>
        <w:rPr>
          <w:rFonts w:ascii="Cambria" w:hAnsi="Cambria" w:cs="Tahoma"/>
          <w:i/>
          <w:sz w:val="18"/>
          <w:szCs w:val="18"/>
          <w:lang w:val="cs-CZ"/>
        </w:rPr>
      </w:pPr>
    </w:p>
    <w:sectPr w:rsidR="00821D06" w:rsidRPr="00EB2E2D" w:rsidSect="0092556E">
      <w:headerReference w:type="default" r:id="rId10"/>
      <w:footerReference w:type="default" r:id="rId11"/>
      <w:pgSz w:w="11906" w:h="16838" w:code="9"/>
      <w:pgMar w:top="1077" w:right="1225" w:bottom="1134" w:left="2019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4111" w14:textId="77777777" w:rsidR="004C4A20" w:rsidRDefault="004C4A20">
      <w:pPr>
        <w:spacing w:after="0" w:line="240" w:lineRule="auto"/>
      </w:pPr>
      <w:r>
        <w:separator/>
      </w:r>
    </w:p>
  </w:endnote>
  <w:endnote w:type="continuationSeparator" w:id="0">
    <w:p w14:paraId="46539E1E" w14:textId="77777777" w:rsidR="004C4A20" w:rsidRDefault="004C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DF72" w14:textId="77777777" w:rsidR="00867F0F" w:rsidRDefault="00867F0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BDF73" wp14:editId="5289F0C5">
              <wp:simplePos x="0" y="0"/>
              <wp:positionH relativeFrom="margin">
                <wp:posOffset>2540</wp:posOffset>
              </wp:positionH>
              <wp:positionV relativeFrom="bottomMargin">
                <wp:posOffset>114300</wp:posOffset>
              </wp:positionV>
              <wp:extent cx="5943600" cy="374650"/>
              <wp:effectExtent l="0" t="0" r="0" b="635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573"/>
                            <w:gridCol w:w="1122"/>
                          </w:tblGrid>
                          <w:tr w:rsidR="00867F0F" w14:paraId="4C0BDF78" w14:textId="77777777" w:rsidTr="00AA1BBC">
                            <w:tc>
                              <w:tcPr>
                                <w:tcW w:w="435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6" w14:textId="07ABF9BD" w:rsidR="00867F0F" w:rsidRPr="001875DD" w:rsidRDefault="00867F0F">
                                <w:pPr>
                                  <w:pStyle w:val="Zpat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 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Praktické cvičení </w:t>
                                </w:r>
                                <w:r w:rsidR="006A6FF6">
                                  <w:rPr>
                                    <w:lang w:val="cs-CZ"/>
                                  </w:rPr>
                                  <w:t>5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– </w:t>
                                </w:r>
                                <w:r w:rsidR="006A6FF6">
                                  <w:rPr>
                                    <w:lang w:val="cs-CZ"/>
                                  </w:rPr>
                                  <w:t>Odhad parametrů rozpustnosti polymerů v organických rozpouštědlech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7" w14:textId="07F8678B" w:rsidR="00867F0F" w:rsidRDefault="00867F0F" w:rsidP="001A53EC">
                                <w:pPr>
                                  <w:pStyle w:val="Zpat"/>
                                  <w:jc w:val="center"/>
                                </w:pPr>
                                <w:r w:rsidRPr="001875DD">
                                  <w:rPr>
                                    <w:lang w:val="cs-CZ"/>
                                  </w:rPr>
                                  <w:t xml:space="preserve">        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0BDF79" w14:textId="77777777" w:rsidR="00867F0F" w:rsidRDefault="00867F0F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D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.2pt;margin-top:9pt;width:468pt;height:29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573"/>
                      <w:gridCol w:w="1122"/>
                    </w:tblGrid>
                    <w:tr w:rsidR="00867F0F" w14:paraId="4C0BDF78" w14:textId="77777777" w:rsidTr="00AA1BBC">
                      <w:tc>
                        <w:tcPr>
                          <w:tcW w:w="4355" w:type="pct"/>
                          <w:tcBorders>
                            <w:top w:val="single" w:sz="4" w:space="0" w:color="auto"/>
                          </w:tcBorders>
                        </w:tcPr>
                        <w:p w14:paraId="4C0BDF76" w14:textId="07ABF9BD" w:rsidR="00867F0F" w:rsidRPr="001875DD" w:rsidRDefault="00867F0F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 </w:t>
                          </w:r>
                          <w:r w:rsidR="00BA088B">
                            <w:rPr>
                              <w:lang w:val="cs-CZ"/>
                            </w:rPr>
                            <w:t xml:space="preserve">Praktické cvičení </w:t>
                          </w:r>
                          <w:r w:rsidR="006A6FF6">
                            <w:rPr>
                              <w:lang w:val="cs-CZ"/>
                            </w:rPr>
                            <w:t>5</w:t>
                          </w:r>
                          <w:r w:rsidR="00BA088B">
                            <w:rPr>
                              <w:lang w:val="cs-CZ"/>
                            </w:rPr>
                            <w:t xml:space="preserve"> – </w:t>
                          </w:r>
                          <w:r w:rsidR="006A6FF6">
                            <w:rPr>
                              <w:lang w:val="cs-CZ"/>
                            </w:rPr>
                            <w:t>Odhad parametrů rozpustnosti polymerů v organických rozpouštědlech</w:t>
                          </w:r>
                          <w:r w:rsidR="00BA088B">
                            <w:rPr>
                              <w:lang w:val="cs-CZ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4" w:space="0" w:color="auto"/>
                          </w:tcBorders>
                        </w:tcPr>
                        <w:p w14:paraId="4C0BDF77" w14:textId="07F8678B" w:rsidR="00867F0F" w:rsidRDefault="00867F0F" w:rsidP="001A53EC">
                          <w:pPr>
                            <w:pStyle w:val="Zpat"/>
                            <w:jc w:val="center"/>
                          </w:pPr>
                          <w:r w:rsidRPr="001875DD">
                            <w:rPr>
                              <w:lang w:val="cs-CZ"/>
                            </w:rPr>
                            <w:t xml:space="preserve">    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0BDF79" w14:textId="77777777" w:rsidR="00867F0F" w:rsidRDefault="00867F0F">
                    <w:pPr>
                      <w:pStyle w:val="Zpa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974F" w14:textId="77777777" w:rsidR="004C4A20" w:rsidRDefault="004C4A20">
      <w:pPr>
        <w:spacing w:after="0" w:line="240" w:lineRule="auto"/>
      </w:pPr>
      <w:r>
        <w:separator/>
      </w:r>
    </w:p>
  </w:footnote>
  <w:footnote w:type="continuationSeparator" w:id="0">
    <w:p w14:paraId="24451F11" w14:textId="77777777" w:rsidR="004C4A20" w:rsidRDefault="004C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8AD1" w14:textId="45D1BCFD" w:rsidR="00867F0F" w:rsidRDefault="00867F0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4C1812" wp14:editId="6D77CF00">
              <wp:simplePos x="0" y="0"/>
              <wp:positionH relativeFrom="leftMargin">
                <wp:posOffset>552450</wp:posOffset>
              </wp:positionH>
              <wp:positionV relativeFrom="margin">
                <wp:posOffset>0</wp:posOffset>
              </wp:positionV>
              <wp:extent cx="666750" cy="6886575"/>
              <wp:effectExtent l="0" t="0" r="0" b="0"/>
              <wp:wrapNone/>
              <wp:docPr id="2" name="Text Box 2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88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4B26DBF8" w:rsidR="00867F0F" w:rsidRPr="001671E6" w:rsidRDefault="001671E6" w:rsidP="001671E6">
                          <w:pPr>
                            <w:pStyle w:val="Nzev"/>
                            <w:jc w:val="center"/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C2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85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</w:t>
                          </w:r>
                          <w:r w:rsidR="00CC2058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Znehodnocování a pov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r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chové úpravy materiá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ů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54000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5pt;margin-top:0;width:52.5pt;height:5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" filled="f" stroked="f" strokeweight=".5pt">
              <v:textbox style="layout-flow:vertical;mso-layout-flow-alt:bottom-to-top" inset="0,15mm,18pt">
                <w:txbxContent>
                  <w:p w14:paraId="793F85A0" w14:textId="4B26DBF8" w:rsidR="00867F0F" w:rsidRPr="001671E6" w:rsidRDefault="001671E6" w:rsidP="001671E6">
                    <w:pPr>
                      <w:pStyle w:val="Nzev"/>
                      <w:jc w:val="center"/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C2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85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</w:t>
                    </w:r>
                    <w:r w:rsidR="00CC2058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Znehodnocování a pov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r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chové úpravy materiá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l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334B"/>
    <w:multiLevelType w:val="hybridMultilevel"/>
    <w:tmpl w:val="8E78FD00"/>
    <w:lvl w:ilvl="0" w:tplc="9D0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E41604">
      <w:numFmt w:val="none"/>
      <w:lvlText w:val=""/>
      <w:lvlJc w:val="left"/>
      <w:pPr>
        <w:tabs>
          <w:tab w:val="num" w:pos="360"/>
        </w:tabs>
      </w:pPr>
    </w:lvl>
    <w:lvl w:ilvl="2" w:tplc="10F83BF0">
      <w:numFmt w:val="none"/>
      <w:lvlText w:val=""/>
      <w:lvlJc w:val="left"/>
      <w:pPr>
        <w:tabs>
          <w:tab w:val="num" w:pos="360"/>
        </w:tabs>
      </w:pPr>
    </w:lvl>
    <w:lvl w:ilvl="3" w:tplc="F172273E">
      <w:numFmt w:val="none"/>
      <w:lvlText w:val=""/>
      <w:lvlJc w:val="left"/>
      <w:pPr>
        <w:tabs>
          <w:tab w:val="num" w:pos="360"/>
        </w:tabs>
      </w:pPr>
    </w:lvl>
    <w:lvl w:ilvl="4" w:tplc="DB06F38C">
      <w:numFmt w:val="none"/>
      <w:lvlText w:val=""/>
      <w:lvlJc w:val="left"/>
      <w:pPr>
        <w:tabs>
          <w:tab w:val="num" w:pos="360"/>
        </w:tabs>
      </w:pPr>
    </w:lvl>
    <w:lvl w:ilvl="5" w:tplc="CE26380E">
      <w:numFmt w:val="none"/>
      <w:lvlText w:val=""/>
      <w:lvlJc w:val="left"/>
      <w:pPr>
        <w:tabs>
          <w:tab w:val="num" w:pos="360"/>
        </w:tabs>
      </w:pPr>
    </w:lvl>
    <w:lvl w:ilvl="6" w:tplc="0218B93A">
      <w:numFmt w:val="none"/>
      <w:lvlText w:val=""/>
      <w:lvlJc w:val="left"/>
      <w:pPr>
        <w:tabs>
          <w:tab w:val="num" w:pos="360"/>
        </w:tabs>
      </w:pPr>
    </w:lvl>
    <w:lvl w:ilvl="7" w:tplc="8CBEB65A">
      <w:numFmt w:val="none"/>
      <w:lvlText w:val=""/>
      <w:lvlJc w:val="left"/>
      <w:pPr>
        <w:tabs>
          <w:tab w:val="num" w:pos="360"/>
        </w:tabs>
      </w:pPr>
    </w:lvl>
    <w:lvl w:ilvl="8" w:tplc="2C5E94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5A3F1F"/>
    <w:multiLevelType w:val="hybridMultilevel"/>
    <w:tmpl w:val="70D8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92F54"/>
    <w:multiLevelType w:val="hybridMultilevel"/>
    <w:tmpl w:val="E0AE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5566"/>
    <w:multiLevelType w:val="hybridMultilevel"/>
    <w:tmpl w:val="012EAD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397"/>
  <w:doNotHyphenateCaps/>
  <w:defaultTableStyle w:val="SOWTable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91"/>
    <w:rsid w:val="0000601B"/>
    <w:rsid w:val="00022FEB"/>
    <w:rsid w:val="00026C75"/>
    <w:rsid w:val="00027C6A"/>
    <w:rsid w:val="000325CE"/>
    <w:rsid w:val="000370AC"/>
    <w:rsid w:val="0006006C"/>
    <w:rsid w:val="00076A83"/>
    <w:rsid w:val="0008612B"/>
    <w:rsid w:val="000C6B9E"/>
    <w:rsid w:val="000D6760"/>
    <w:rsid w:val="000E38FD"/>
    <w:rsid w:val="000E6292"/>
    <w:rsid w:val="000F05DA"/>
    <w:rsid w:val="000F09CE"/>
    <w:rsid w:val="00100B68"/>
    <w:rsid w:val="00104089"/>
    <w:rsid w:val="00106EBB"/>
    <w:rsid w:val="00114B06"/>
    <w:rsid w:val="00121B13"/>
    <w:rsid w:val="00123ABA"/>
    <w:rsid w:val="00144095"/>
    <w:rsid w:val="001464F7"/>
    <w:rsid w:val="00152C49"/>
    <w:rsid w:val="0015591D"/>
    <w:rsid w:val="00157034"/>
    <w:rsid w:val="0016577B"/>
    <w:rsid w:val="001671E6"/>
    <w:rsid w:val="001875DD"/>
    <w:rsid w:val="00191431"/>
    <w:rsid w:val="001A53EC"/>
    <w:rsid w:val="001B2311"/>
    <w:rsid w:val="001C15AC"/>
    <w:rsid w:val="001C7152"/>
    <w:rsid w:val="001D0DD2"/>
    <w:rsid w:val="001D13CB"/>
    <w:rsid w:val="001D21ED"/>
    <w:rsid w:val="001D4867"/>
    <w:rsid w:val="001E7970"/>
    <w:rsid w:val="001E7FED"/>
    <w:rsid w:val="0020334F"/>
    <w:rsid w:val="002135A7"/>
    <w:rsid w:val="00223616"/>
    <w:rsid w:val="00224BDD"/>
    <w:rsid w:val="00225E54"/>
    <w:rsid w:val="00242E32"/>
    <w:rsid w:val="0024768A"/>
    <w:rsid w:val="00251E52"/>
    <w:rsid w:val="002612A4"/>
    <w:rsid w:val="00286160"/>
    <w:rsid w:val="00296B73"/>
    <w:rsid w:val="002A2C16"/>
    <w:rsid w:val="002A3A9F"/>
    <w:rsid w:val="002B725E"/>
    <w:rsid w:val="002C1303"/>
    <w:rsid w:val="002E1C25"/>
    <w:rsid w:val="002E1F1A"/>
    <w:rsid w:val="00301F58"/>
    <w:rsid w:val="00316C94"/>
    <w:rsid w:val="00331C99"/>
    <w:rsid w:val="003326BF"/>
    <w:rsid w:val="003359EF"/>
    <w:rsid w:val="00347D0D"/>
    <w:rsid w:val="00352FDB"/>
    <w:rsid w:val="00356DCB"/>
    <w:rsid w:val="003605E0"/>
    <w:rsid w:val="003721D6"/>
    <w:rsid w:val="00373D7B"/>
    <w:rsid w:val="003746C5"/>
    <w:rsid w:val="0038456B"/>
    <w:rsid w:val="003922E1"/>
    <w:rsid w:val="003A17FC"/>
    <w:rsid w:val="003B1A70"/>
    <w:rsid w:val="003B58BA"/>
    <w:rsid w:val="003B711F"/>
    <w:rsid w:val="003B7628"/>
    <w:rsid w:val="003C3F1D"/>
    <w:rsid w:val="003E2FA4"/>
    <w:rsid w:val="003E35CF"/>
    <w:rsid w:val="003F0C11"/>
    <w:rsid w:val="00403AFB"/>
    <w:rsid w:val="00417EEC"/>
    <w:rsid w:val="00420909"/>
    <w:rsid w:val="00426683"/>
    <w:rsid w:val="0043094E"/>
    <w:rsid w:val="00434568"/>
    <w:rsid w:val="004729B4"/>
    <w:rsid w:val="00477EB7"/>
    <w:rsid w:val="004925D5"/>
    <w:rsid w:val="004C4A20"/>
    <w:rsid w:val="004D4884"/>
    <w:rsid w:val="004F01F1"/>
    <w:rsid w:val="004F2778"/>
    <w:rsid w:val="004F327C"/>
    <w:rsid w:val="00502711"/>
    <w:rsid w:val="00507B7F"/>
    <w:rsid w:val="00550147"/>
    <w:rsid w:val="00552729"/>
    <w:rsid w:val="00553437"/>
    <w:rsid w:val="00553579"/>
    <w:rsid w:val="0057212E"/>
    <w:rsid w:val="00584CBD"/>
    <w:rsid w:val="00590F2E"/>
    <w:rsid w:val="005A1C78"/>
    <w:rsid w:val="005A3C4E"/>
    <w:rsid w:val="005A4319"/>
    <w:rsid w:val="005C0C6D"/>
    <w:rsid w:val="005C70CE"/>
    <w:rsid w:val="005D34AF"/>
    <w:rsid w:val="005E10D4"/>
    <w:rsid w:val="005F0198"/>
    <w:rsid w:val="00620791"/>
    <w:rsid w:val="006506C3"/>
    <w:rsid w:val="00666C0D"/>
    <w:rsid w:val="006714C1"/>
    <w:rsid w:val="00671635"/>
    <w:rsid w:val="00671B9C"/>
    <w:rsid w:val="00672034"/>
    <w:rsid w:val="00692E10"/>
    <w:rsid w:val="006A6FF6"/>
    <w:rsid w:val="006C2871"/>
    <w:rsid w:val="006F6A73"/>
    <w:rsid w:val="00706487"/>
    <w:rsid w:val="00721E77"/>
    <w:rsid w:val="00725626"/>
    <w:rsid w:val="0073796F"/>
    <w:rsid w:val="00740BF7"/>
    <w:rsid w:val="00744494"/>
    <w:rsid w:val="00754123"/>
    <w:rsid w:val="00783B8A"/>
    <w:rsid w:val="00787D2D"/>
    <w:rsid w:val="007913E2"/>
    <w:rsid w:val="00792011"/>
    <w:rsid w:val="00793ADE"/>
    <w:rsid w:val="007C44AA"/>
    <w:rsid w:val="007E1356"/>
    <w:rsid w:val="007F15E9"/>
    <w:rsid w:val="007F67A8"/>
    <w:rsid w:val="008005FD"/>
    <w:rsid w:val="0080657A"/>
    <w:rsid w:val="0080688B"/>
    <w:rsid w:val="00806CE3"/>
    <w:rsid w:val="008135DE"/>
    <w:rsid w:val="00815372"/>
    <w:rsid w:val="008155E2"/>
    <w:rsid w:val="00821D06"/>
    <w:rsid w:val="00842C11"/>
    <w:rsid w:val="00844144"/>
    <w:rsid w:val="008552D7"/>
    <w:rsid w:val="00863373"/>
    <w:rsid w:val="00864E1E"/>
    <w:rsid w:val="00866EDD"/>
    <w:rsid w:val="00867F0F"/>
    <w:rsid w:val="00870304"/>
    <w:rsid w:val="00875133"/>
    <w:rsid w:val="00875A8C"/>
    <w:rsid w:val="00881C8C"/>
    <w:rsid w:val="00895826"/>
    <w:rsid w:val="008C599B"/>
    <w:rsid w:val="008F1950"/>
    <w:rsid w:val="00900CB0"/>
    <w:rsid w:val="009206B2"/>
    <w:rsid w:val="009237E5"/>
    <w:rsid w:val="0092556E"/>
    <w:rsid w:val="00925E8F"/>
    <w:rsid w:val="0095289B"/>
    <w:rsid w:val="009609FB"/>
    <w:rsid w:val="009621FA"/>
    <w:rsid w:val="00973826"/>
    <w:rsid w:val="00984297"/>
    <w:rsid w:val="009860AD"/>
    <w:rsid w:val="00986C4E"/>
    <w:rsid w:val="009918AA"/>
    <w:rsid w:val="009A7A2C"/>
    <w:rsid w:val="009D778F"/>
    <w:rsid w:val="00A01FFA"/>
    <w:rsid w:val="00A06E23"/>
    <w:rsid w:val="00A12AEF"/>
    <w:rsid w:val="00A1541A"/>
    <w:rsid w:val="00A23ABA"/>
    <w:rsid w:val="00A54E6A"/>
    <w:rsid w:val="00A57402"/>
    <w:rsid w:val="00A67FBD"/>
    <w:rsid w:val="00A71A4D"/>
    <w:rsid w:val="00A8461C"/>
    <w:rsid w:val="00A9157E"/>
    <w:rsid w:val="00AA08F1"/>
    <w:rsid w:val="00AA1BBC"/>
    <w:rsid w:val="00AD67F1"/>
    <w:rsid w:val="00AF47DC"/>
    <w:rsid w:val="00B11999"/>
    <w:rsid w:val="00B14753"/>
    <w:rsid w:val="00B46175"/>
    <w:rsid w:val="00B474B3"/>
    <w:rsid w:val="00B47902"/>
    <w:rsid w:val="00B62A77"/>
    <w:rsid w:val="00B75E34"/>
    <w:rsid w:val="00B86BD9"/>
    <w:rsid w:val="00BA088B"/>
    <w:rsid w:val="00BA2DEE"/>
    <w:rsid w:val="00BB1AEC"/>
    <w:rsid w:val="00BB2EA6"/>
    <w:rsid w:val="00BC04E6"/>
    <w:rsid w:val="00BC6AA6"/>
    <w:rsid w:val="00BD0730"/>
    <w:rsid w:val="00BD18A1"/>
    <w:rsid w:val="00BD6480"/>
    <w:rsid w:val="00BE1752"/>
    <w:rsid w:val="00BF5E90"/>
    <w:rsid w:val="00C41C67"/>
    <w:rsid w:val="00CB392B"/>
    <w:rsid w:val="00CC2058"/>
    <w:rsid w:val="00CD36F7"/>
    <w:rsid w:val="00CD70B5"/>
    <w:rsid w:val="00CF0D32"/>
    <w:rsid w:val="00D01FFA"/>
    <w:rsid w:val="00D240E0"/>
    <w:rsid w:val="00D32754"/>
    <w:rsid w:val="00D700AE"/>
    <w:rsid w:val="00D71FD8"/>
    <w:rsid w:val="00D7556B"/>
    <w:rsid w:val="00D97205"/>
    <w:rsid w:val="00DC2E95"/>
    <w:rsid w:val="00DC3C7B"/>
    <w:rsid w:val="00DD019E"/>
    <w:rsid w:val="00DD329F"/>
    <w:rsid w:val="00DF181C"/>
    <w:rsid w:val="00E10051"/>
    <w:rsid w:val="00E11B94"/>
    <w:rsid w:val="00E11FB6"/>
    <w:rsid w:val="00E1761E"/>
    <w:rsid w:val="00E341DA"/>
    <w:rsid w:val="00E4610F"/>
    <w:rsid w:val="00E60615"/>
    <w:rsid w:val="00E615CA"/>
    <w:rsid w:val="00E840A8"/>
    <w:rsid w:val="00E94F35"/>
    <w:rsid w:val="00EB2E2D"/>
    <w:rsid w:val="00EC064A"/>
    <w:rsid w:val="00EC1998"/>
    <w:rsid w:val="00ED15A5"/>
    <w:rsid w:val="00ED15A8"/>
    <w:rsid w:val="00ED3248"/>
    <w:rsid w:val="00EE2398"/>
    <w:rsid w:val="00EE5217"/>
    <w:rsid w:val="00EE6C7B"/>
    <w:rsid w:val="00F04DEE"/>
    <w:rsid w:val="00F0626D"/>
    <w:rsid w:val="00F235AC"/>
    <w:rsid w:val="00F44056"/>
    <w:rsid w:val="00F5066B"/>
    <w:rsid w:val="00F6593C"/>
    <w:rsid w:val="00F76D64"/>
    <w:rsid w:val="00F778BD"/>
    <w:rsid w:val="00F822F9"/>
    <w:rsid w:val="00F82ECF"/>
    <w:rsid w:val="00FA64C9"/>
    <w:rsid w:val="00FB19C1"/>
    <w:rsid w:val="00FB2B36"/>
    <w:rsid w:val="00FB3EEB"/>
    <w:rsid w:val="00FC2C8C"/>
    <w:rsid w:val="00FD5EEA"/>
    <w:rsid w:val="00FD73A6"/>
    <w:rsid w:val="00FD7ECA"/>
    <w:rsid w:val="00FE2A52"/>
    <w:rsid w:val="00FF2A60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0BDEDB"/>
  <w15:docId w15:val="{DCACCA17-0886-4FCD-B772-1B5D0C8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Pr>
      <w:color w:val="F24F4F" w:themeColor="accent1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lntabulka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ln"/>
    <w:next w:val="Normln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ln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SignatureTable">
    <w:name w:val="Signature Table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E"/>
    <w:rPr>
      <w:rFonts w:ascii="Tahoma" w:hAnsi="Tahoma" w:cs="Tahoma"/>
      <w:sz w:val="16"/>
      <w:szCs w:val="16"/>
    </w:rPr>
  </w:style>
  <w:style w:type="table" w:customStyle="1" w:styleId="ProjectScopeTable">
    <w:name w:val="Project Scope Table"/>
    <w:basedOn w:val="Normlntabulka"/>
    <w:uiPriority w:val="99"/>
    <w:rsid w:val="00EE6C7B"/>
    <w:pPr>
      <w:spacing w:before="120" w:after="120" w:line="240" w:lineRule="auto"/>
    </w:pPr>
    <w:rPr>
      <w:rFonts w:eastAsiaTheme="minorHAnsi"/>
      <w:color w:val="404040" w:themeColor="text1" w:themeTint="BF"/>
      <w:sz w:val="18"/>
      <w:lang w:val="cs-CZ" w:eastAsia="en-US"/>
    </w:rPr>
    <w:tblPr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24F4F" w:themeColor="accent1"/>
        <w:insideV w:val="single" w:sz="4" w:space="0" w:color="F24F4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CDBDB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24F4F" w:themeFill="accent1"/>
      </w:tcPr>
    </w:tblStylePr>
  </w:style>
  <w:style w:type="paragraph" w:styleId="Normlnweb">
    <w:name w:val="Normal (Web)"/>
    <w:basedOn w:val="Normln"/>
    <w:uiPriority w:val="99"/>
    <w:semiHidden/>
    <w:unhideWhenUsed/>
    <w:rsid w:val="00E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table" w:styleId="Stednseznam2zvraznn1">
    <w:name w:val="Medium List 2 Accent 1"/>
    <w:basedOn w:val="Normlntabulka"/>
    <w:uiPriority w:val="66"/>
    <w:rsid w:val="009A7A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cs-CZ" w:eastAsia="cs-CZ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F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1DC74-7E9C-4389-B889-3BCC6858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Jaromír Tulka</cp:lastModifiedBy>
  <cp:revision>3</cp:revision>
  <cp:lastPrinted>2019-03-23T13:22:00Z</cp:lastPrinted>
  <dcterms:created xsi:type="dcterms:W3CDTF">2019-03-22T20:56:00Z</dcterms:created>
  <dcterms:modified xsi:type="dcterms:W3CDTF">2019-03-23T13:22:00Z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