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4964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5289"/>
        <w:gridCol w:w="3311"/>
      </w:tblGrid>
      <w:tr w:rsidR="00584CBD" w:rsidRPr="003721D6" w14:paraId="4C0BDEDE" w14:textId="77777777" w:rsidTr="00867F0F">
        <w:trPr>
          <w:trHeight w:val="990"/>
        </w:trPr>
        <w:tc>
          <w:tcPr>
            <w:tcW w:w="5500" w:type="dxa"/>
            <w:tcBorders>
              <w:bottom w:val="single" w:sz="4" w:space="0" w:color="0070C0"/>
            </w:tcBorders>
            <w:vAlign w:val="bottom"/>
          </w:tcPr>
          <w:p w14:paraId="283B5AAB" w14:textId="5B0AB696" w:rsidR="00584CBD" w:rsidRPr="00553579" w:rsidRDefault="00584CBD" w:rsidP="00584CBD">
            <w:pPr>
              <w:pStyle w:val="Bezmezer"/>
              <w:ind w:left="0" w:right="142"/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553579">
              <w:rPr>
                <w:rFonts w:ascii="Cambria" w:hAnsi="Cambria"/>
                <w:b/>
                <w:sz w:val="24"/>
                <w:szCs w:val="24"/>
                <w:lang w:val="cs-CZ"/>
              </w:rPr>
              <w:t xml:space="preserve">  Masarykova univerzita v Brně</w:t>
            </w:r>
          </w:p>
          <w:p w14:paraId="459AD3E3" w14:textId="08120A3F" w:rsidR="00584CBD" w:rsidRPr="00553579" w:rsidRDefault="00584CBD" w:rsidP="00584CBD">
            <w:pPr>
              <w:pStyle w:val="Bezmezer"/>
              <w:rPr>
                <w:rFonts w:ascii="Cambria" w:hAnsi="Cambria"/>
                <w:b/>
                <w:sz w:val="24"/>
                <w:szCs w:val="24"/>
                <w:lang w:val="cs-CZ"/>
              </w:rPr>
            </w:pPr>
            <w:r w:rsidRPr="00553579">
              <w:rPr>
                <w:rFonts w:ascii="Cambria" w:hAnsi="Cambria"/>
                <w:lang w:val="cs-CZ"/>
              </w:rPr>
              <w:t>Přírodovědecká fakulta</w:t>
            </w:r>
            <w:r w:rsidRPr="00553579">
              <w:rPr>
                <w:rFonts w:ascii="Cambria" w:hAnsi="Cambria"/>
                <w:lang w:val="cs-CZ"/>
              </w:rPr>
              <w:br/>
              <w:t xml:space="preserve">Ústav chemie – Chemie konzervování a restaurování  </w:t>
            </w:r>
          </w:p>
        </w:tc>
        <w:tc>
          <w:tcPr>
            <w:tcW w:w="3431" w:type="dxa"/>
            <w:tcBorders>
              <w:bottom w:val="single" w:sz="4" w:space="0" w:color="0070C0"/>
            </w:tcBorders>
            <w:shd w:val="clear" w:color="auto" w:fill="auto"/>
            <w:vAlign w:val="bottom"/>
          </w:tcPr>
          <w:p w14:paraId="20BD440A" w14:textId="7D085B88" w:rsidR="00BA088B" w:rsidRPr="00553579" w:rsidRDefault="00076A83" w:rsidP="00BA088B">
            <w:pPr>
              <w:spacing w:before="120" w:line="276" w:lineRule="auto"/>
              <w:ind w:left="142" w:right="142"/>
              <w:rPr>
                <w:rFonts w:ascii="Cambria" w:hAnsi="Cambria"/>
                <w:i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>Pr</w:t>
            </w:r>
            <w:r w:rsidR="00BA088B" w:rsidRPr="00553579">
              <w:rPr>
                <w:rFonts w:ascii="Cambria" w:hAnsi="Cambria"/>
                <w:i/>
                <w:lang w:val="cs-CZ"/>
              </w:rPr>
              <w:t xml:space="preserve">aktické cvičení: </w:t>
            </w:r>
            <w:r w:rsidR="00FF2A60">
              <w:rPr>
                <w:rFonts w:ascii="Cambria" w:hAnsi="Cambria"/>
                <w:i/>
                <w:sz w:val="28"/>
                <w:szCs w:val="28"/>
                <w:lang w:val="cs-CZ"/>
              </w:rPr>
              <w:t>7</w:t>
            </w:r>
          </w:p>
          <w:p w14:paraId="024DF853" w14:textId="22A53E7B" w:rsidR="00584CBD" w:rsidRPr="00553579" w:rsidRDefault="00A9157E" w:rsidP="00BA088B">
            <w:pPr>
              <w:spacing w:before="120" w:line="276" w:lineRule="auto"/>
              <w:ind w:left="142" w:right="142"/>
              <w:rPr>
                <w:rFonts w:ascii="Cambria" w:hAnsi="Cambria"/>
                <w:i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>Datum:</w:t>
            </w:r>
          </w:p>
          <w:p w14:paraId="4C0BDEDD" w14:textId="0BABC2B6" w:rsidR="00584CBD" w:rsidRPr="00553579" w:rsidRDefault="00584CBD" w:rsidP="00584CBD">
            <w:pPr>
              <w:pStyle w:val="Bezmezer"/>
              <w:ind w:left="0" w:right="0"/>
              <w:rPr>
                <w:rFonts w:ascii="Cambria" w:hAnsi="Cambria"/>
                <w:lang w:val="cs-CZ"/>
              </w:rPr>
            </w:pPr>
            <w:r w:rsidRPr="00553579">
              <w:rPr>
                <w:rFonts w:ascii="Cambria" w:hAnsi="Cambria"/>
                <w:i/>
                <w:lang w:val="cs-CZ"/>
              </w:rPr>
              <w:t xml:space="preserve"> </w:t>
            </w:r>
            <w:r w:rsidR="00A9157E" w:rsidRPr="00553579">
              <w:rPr>
                <w:rFonts w:ascii="Cambria" w:hAnsi="Cambria"/>
                <w:i/>
                <w:lang w:val="cs-CZ"/>
              </w:rPr>
              <w:t xml:space="preserve">  Posluchač</w:t>
            </w:r>
            <w:r w:rsidR="00DD019E" w:rsidRPr="00553579">
              <w:rPr>
                <w:rFonts w:ascii="Cambria" w:hAnsi="Cambria"/>
                <w:i/>
                <w:lang w:val="cs-CZ"/>
              </w:rPr>
              <w:t>(ka)</w:t>
            </w:r>
            <w:r w:rsidR="00A9157E" w:rsidRPr="00553579">
              <w:rPr>
                <w:rFonts w:ascii="Cambria" w:hAnsi="Cambria"/>
                <w:i/>
                <w:lang w:val="cs-CZ"/>
              </w:rPr>
              <w:t>:</w:t>
            </w:r>
          </w:p>
        </w:tc>
      </w:tr>
    </w:tbl>
    <w:p w14:paraId="4F9B76C0" w14:textId="5D94460B" w:rsidR="008552D7" w:rsidRPr="00114B06" w:rsidRDefault="00A06E23" w:rsidP="008552D7">
      <w:pPr>
        <w:pStyle w:val="Podnadpis"/>
        <w:spacing w:before="240" w:after="120"/>
        <w:rPr>
          <w:rFonts w:ascii="Cambria" w:hAnsi="Cambria" w:cs="Segoe UI"/>
          <w:color w:val="0070C0"/>
          <w:sz w:val="20"/>
          <w:szCs w:val="20"/>
          <w:lang w:val="cs-CZ"/>
        </w:rPr>
      </w:pPr>
      <w:r w:rsidRPr="00114B06">
        <w:rPr>
          <w:rFonts w:ascii="Cambria" w:hAnsi="Cambria" w:cs="Segoe UI"/>
          <w:color w:val="0070C0"/>
          <w:sz w:val="20"/>
          <w:szCs w:val="20"/>
          <w:lang w:val="cs-CZ"/>
        </w:rPr>
        <w:t>Téma pr</w:t>
      </w:r>
      <w:r w:rsidR="00584CBD" w:rsidRPr="00114B06">
        <w:rPr>
          <w:rFonts w:ascii="Cambria" w:hAnsi="Cambria" w:cs="Segoe UI"/>
          <w:color w:val="0070C0"/>
          <w:sz w:val="20"/>
          <w:szCs w:val="20"/>
          <w:lang w:val="cs-CZ"/>
        </w:rPr>
        <w:t>aktického cvičení</w:t>
      </w:r>
      <w:r w:rsidR="008552D7" w:rsidRPr="00114B06">
        <w:rPr>
          <w:rFonts w:ascii="Cambria" w:hAnsi="Cambria" w:cs="Segoe UI"/>
          <w:color w:val="0070C0"/>
          <w:sz w:val="20"/>
          <w:szCs w:val="20"/>
          <w:lang w:val="cs-CZ"/>
        </w:rPr>
        <w:t xml:space="preserve">: </w:t>
      </w:r>
    </w:p>
    <w:p w14:paraId="553E59EA" w14:textId="7639A4C4" w:rsidR="00331C99" w:rsidRDefault="00331C99" w:rsidP="00331C99">
      <w:pPr>
        <w:pStyle w:val="Podnadpis"/>
        <w:spacing w:before="120"/>
        <w:rPr>
          <w:rFonts w:ascii="Cambria" w:hAnsi="Cambria" w:cs="Segoe UI"/>
          <w:sz w:val="20"/>
          <w:szCs w:val="20"/>
          <w:lang w:val="cs-CZ"/>
        </w:rPr>
      </w:pPr>
      <w:r>
        <w:rPr>
          <w:rFonts w:ascii="Cambria" w:hAnsi="Cambria" w:cs="Segoe UI"/>
          <w:sz w:val="20"/>
          <w:szCs w:val="20"/>
          <w:lang w:val="cs-CZ"/>
        </w:rPr>
        <w:t>STANOV</w:t>
      </w:r>
      <w:r w:rsidR="00114B06" w:rsidRPr="00114B06">
        <w:rPr>
          <w:rFonts w:ascii="Cambria" w:hAnsi="Cambria" w:cs="Segoe UI"/>
          <w:sz w:val="20"/>
          <w:szCs w:val="20"/>
          <w:lang w:val="cs-CZ"/>
        </w:rPr>
        <w:t xml:space="preserve">ENÍ </w:t>
      </w:r>
      <w:r w:rsidR="00FF2A60">
        <w:rPr>
          <w:rFonts w:ascii="Cambria" w:hAnsi="Cambria" w:cs="Segoe UI"/>
          <w:sz w:val="20"/>
          <w:szCs w:val="20"/>
          <w:lang w:val="cs-CZ"/>
        </w:rPr>
        <w:t>PŘILNAVOSTI</w:t>
      </w:r>
      <w:r>
        <w:rPr>
          <w:rFonts w:ascii="Cambria" w:hAnsi="Cambria" w:cs="Segoe UI"/>
          <w:sz w:val="20"/>
          <w:szCs w:val="20"/>
          <w:lang w:val="cs-CZ"/>
        </w:rPr>
        <w:t xml:space="preserve"> NÁTĚRŮ</w:t>
      </w:r>
      <w:r w:rsidR="00550147">
        <w:rPr>
          <w:rFonts w:ascii="Cambria" w:hAnsi="Cambria" w:cs="Segoe UI"/>
          <w:sz w:val="20"/>
          <w:szCs w:val="20"/>
          <w:lang w:val="cs-CZ"/>
        </w:rPr>
        <w:t xml:space="preserve"> </w:t>
      </w:r>
      <w:r w:rsidR="00FF2A60">
        <w:rPr>
          <w:rFonts w:ascii="Cambria" w:hAnsi="Cambria" w:cs="Segoe UI"/>
          <w:sz w:val="20"/>
          <w:szCs w:val="20"/>
          <w:lang w:val="cs-CZ"/>
        </w:rPr>
        <w:t>MŘÍŽKOVOU METODOU</w:t>
      </w:r>
    </w:p>
    <w:tbl>
      <w:tblPr>
        <w:tblStyle w:val="TipTable"/>
        <w:tblW w:w="5014" w:type="pct"/>
        <w:shd w:val="clear" w:color="auto" w:fill="FFFFFF" w:themeFill="background1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142"/>
        <w:gridCol w:w="8544"/>
      </w:tblGrid>
      <w:tr w:rsidR="00620791" w:rsidRPr="00FF2A60" w14:paraId="4C0BDEEE" w14:textId="77777777" w:rsidTr="00114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" w:type="pct"/>
            <w:shd w:val="clear" w:color="auto" w:fill="FFFFFF" w:themeFill="background1"/>
          </w:tcPr>
          <w:p w14:paraId="4C0BDEEA" w14:textId="733FE7B3" w:rsidR="00620791" w:rsidRPr="00584CBD" w:rsidRDefault="00620791">
            <w:pPr>
              <w:pStyle w:val="Icon"/>
              <w:rPr>
                <w:rFonts w:ascii="Segoe UI" w:hAnsi="Segoe UI" w:cs="Segoe UI"/>
                <w:u w:val="double"/>
                <w:lang w:val="cs-CZ"/>
              </w:rPr>
            </w:pPr>
          </w:p>
        </w:tc>
        <w:tc>
          <w:tcPr>
            <w:tcW w:w="4918" w:type="pct"/>
            <w:shd w:val="clear" w:color="auto" w:fill="FFFFFF" w:themeFill="background1"/>
          </w:tcPr>
          <w:p w14:paraId="7BB270B1" w14:textId="33AB4A7A" w:rsidR="007C44AA" w:rsidRPr="00584CBD" w:rsidRDefault="00863373" w:rsidP="007C44AA">
            <w:pPr>
              <w:spacing w:after="120" w:line="276" w:lineRule="auto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Segoe UI"/>
                <w:b/>
                <w:color w:val="0070C0"/>
                <w:sz w:val="20"/>
                <w:szCs w:val="20"/>
                <w:lang w:val="cs-CZ"/>
              </w:rPr>
            </w:pPr>
            <w:r w:rsidRPr="00584CBD">
              <w:rPr>
                <w:rFonts w:ascii="Cambria" w:hAnsi="Cambria" w:cs="Segoe UI"/>
                <w:b/>
                <w:color w:val="0070C0"/>
                <w:sz w:val="20"/>
                <w:szCs w:val="20"/>
                <w:lang w:val="cs-CZ"/>
              </w:rPr>
              <w:t>SOUHRN</w:t>
            </w:r>
          </w:p>
          <w:p w14:paraId="24FF373D" w14:textId="229E8759" w:rsidR="00FF2A60" w:rsidRPr="00FF2A60" w:rsidRDefault="00FF2A60" w:rsidP="00FF2A60">
            <w:pPr>
              <w:pStyle w:val="Zhlav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val="x-none"/>
              </w:rPr>
            </w:pPr>
            <w:r w:rsidRPr="00FF2A60">
              <w:rPr>
                <w:rFonts w:ascii="Cambria" w:hAnsi="Cambria"/>
                <w:noProof/>
                <w:lang w:val="x-none"/>
              </w:rPr>
              <w:t xml:space="preserve">Měření přilnavosti suchého nátěrového filmu </w:t>
            </w:r>
            <w:r w:rsidR="003721D6">
              <w:rPr>
                <w:rFonts w:ascii="Cambria" w:hAnsi="Cambria"/>
                <w:noProof/>
                <w:lang w:val="cs-CZ"/>
              </w:rPr>
              <w:t xml:space="preserve">barev a laků </w:t>
            </w:r>
            <w:r w:rsidRPr="00FF2A60">
              <w:rPr>
                <w:rFonts w:ascii="Cambria" w:hAnsi="Cambria"/>
                <w:noProof/>
                <w:lang w:val="x-none"/>
              </w:rPr>
              <w:t xml:space="preserve">patří mezi základní experimentální techniky při hodnocení souhrnné jakosti nátěrového systému.  </w:t>
            </w:r>
          </w:p>
          <w:p w14:paraId="6DF6EB96" w14:textId="584031E1" w:rsidR="00FF2A60" w:rsidRPr="00FF2A60" w:rsidRDefault="00FF2A60" w:rsidP="000E6292">
            <w:pPr>
              <w:shd w:val="clear" w:color="auto" w:fill="FFFFFF"/>
              <w:spacing w:before="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noProof/>
                <w:lang w:val="x-none" w:eastAsia="cs-CZ"/>
              </w:rPr>
            </w:pPr>
            <w:r w:rsidRPr="00FF2A60">
              <w:rPr>
                <w:rFonts w:ascii="Cambria" w:eastAsia="Times New Roman" w:hAnsi="Cambria" w:cs="Times New Roman"/>
                <w:noProof/>
                <w:lang w:val="x-none" w:eastAsia="cs-CZ"/>
              </w:rPr>
              <w:t>Metoda hodnocení odolnosti povlaků z nátěrových hmot k oddělení od podkladu je popsána v české technické normě ČSN EN ISO 2409-2007. Principem metody stanovení přilnavosti povlaku je proříznutí nátěru pomocí řezacího nože pravoúhlou mřížkou</w:t>
            </w:r>
            <w:r w:rsidR="000E6292">
              <w:rPr>
                <w:rFonts w:ascii="Cambria" w:eastAsia="Times New Roman" w:hAnsi="Cambria" w:cs="Times New Roman"/>
                <w:noProof/>
                <w:lang w:val="cs-CZ" w:eastAsia="cs-CZ"/>
              </w:rPr>
              <w:t>,</w:t>
            </w:r>
            <w:r w:rsidRPr="00FF2A60">
              <w:rPr>
                <w:rFonts w:ascii="Cambria" w:eastAsia="Times New Roman" w:hAnsi="Cambria" w:cs="Times New Roman"/>
                <w:noProof/>
                <w:lang w:val="x-none" w:eastAsia="cs-CZ"/>
              </w:rPr>
              <w:t xml:space="preserve"> pronikající až k podkladu</w:t>
            </w:r>
            <w:r w:rsidR="000E6292">
              <w:rPr>
                <w:rFonts w:ascii="Cambria" w:eastAsia="Times New Roman" w:hAnsi="Cambria" w:cs="Times New Roman"/>
                <w:noProof/>
                <w:lang w:val="cs-CZ" w:eastAsia="cs-CZ"/>
              </w:rPr>
              <w:t>,</w:t>
            </w:r>
            <w:r w:rsidRPr="00FF2A60">
              <w:rPr>
                <w:rFonts w:ascii="Cambria" w:eastAsia="Times New Roman" w:hAnsi="Cambria" w:cs="Times New Roman"/>
                <w:noProof/>
                <w:lang w:val="x-none" w:eastAsia="cs-CZ"/>
              </w:rPr>
              <w:t xml:space="preserve"> a posouzení stavu nátěru se standardem.</w:t>
            </w:r>
          </w:p>
          <w:p w14:paraId="4C0BDEED" w14:textId="30F46A8A" w:rsidR="00867F0F" w:rsidRPr="00FF2A60" w:rsidRDefault="00CF0D32" w:rsidP="00867F0F">
            <w:pPr>
              <w:spacing w:before="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noProof/>
                <w:lang w:val="cs-CZ"/>
              </w:rPr>
            </w:pPr>
            <w:r w:rsidRPr="00FF2A60">
              <w:rPr>
                <w:rFonts w:ascii="Cambria" w:hAnsi="Cambria" w:cs="Arial"/>
                <w:noProof/>
                <w:lang w:val="cs-CZ"/>
              </w:rPr>
              <w:t xml:space="preserve">Pro řešení úlohy je vydán tento metodický pokyn </w:t>
            </w:r>
            <w:r w:rsidR="003605E0" w:rsidRPr="00FF2A60">
              <w:rPr>
                <w:rFonts w:ascii="Cambria" w:hAnsi="Cambria" w:cs="Arial"/>
                <w:noProof/>
                <w:lang w:val="cs-CZ"/>
              </w:rPr>
              <w:t xml:space="preserve">č. </w:t>
            </w:r>
            <w:r w:rsidR="00FF2A60">
              <w:rPr>
                <w:rFonts w:ascii="Cambria" w:hAnsi="Cambria" w:cs="Arial"/>
                <w:noProof/>
                <w:lang w:val="cs-CZ"/>
              </w:rPr>
              <w:t>7</w:t>
            </w:r>
            <w:r w:rsidRPr="00FF2A60">
              <w:rPr>
                <w:rFonts w:ascii="Cambria" w:hAnsi="Cambria" w:cs="Arial"/>
                <w:noProof/>
                <w:lang w:val="cs-CZ"/>
              </w:rPr>
              <w:t>.</w:t>
            </w:r>
          </w:p>
        </w:tc>
      </w:tr>
    </w:tbl>
    <w:p w14:paraId="52385237" w14:textId="4BCDEC52" w:rsidR="005D34AF" w:rsidRPr="006F6A73" w:rsidRDefault="00AA08F1" w:rsidP="003E2FA4">
      <w:pPr>
        <w:pStyle w:val="Nadpis1"/>
        <w:pBdr>
          <w:bottom w:val="none" w:sz="0" w:space="0" w:color="auto"/>
        </w:pBdr>
        <w:spacing w:before="360" w:after="0"/>
        <w:rPr>
          <w:rFonts w:ascii="Cambria" w:hAnsi="Cambria" w:cs="Segoe UI"/>
          <w:b/>
          <w:color w:val="0070C0"/>
          <w:sz w:val="20"/>
          <w:szCs w:val="20"/>
          <w:lang w:val="cs-CZ"/>
        </w:rPr>
      </w:pPr>
      <w:r w:rsidRPr="00863373">
        <w:rPr>
          <w:rFonts w:ascii="Segoe UI" w:hAnsi="Segoe UI" w:cs="Segoe UI"/>
          <w:noProof/>
          <w:lang w:val="cs-CZ" w:eastAsia="cs-CZ"/>
        </w:rPr>
        <w:drawing>
          <wp:inline distT="0" distB="0" distL="0" distR="0" wp14:anchorId="6B40BBF0" wp14:editId="2D76E4F8">
            <wp:extent cx="336550" cy="336550"/>
            <wp:effectExtent l="0" t="0" r="6350" b="6350"/>
            <wp:docPr id="9" name="Obrázek 9" descr="E:\šablony\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šablony\Book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A73">
        <w:rPr>
          <w:rFonts w:ascii="Cambria" w:hAnsi="Cambria" w:cs="Segoe UI"/>
          <w:color w:val="0070C0"/>
          <w:sz w:val="20"/>
          <w:szCs w:val="20"/>
          <w:lang w:val="cs-CZ"/>
        </w:rPr>
        <w:t xml:space="preserve">  </w:t>
      </w:r>
      <w:r w:rsidR="00867F0F">
        <w:rPr>
          <w:rFonts w:ascii="Cambria" w:hAnsi="Cambria" w:cs="Segoe UI"/>
          <w:b/>
          <w:color w:val="0070C0"/>
          <w:sz w:val="20"/>
          <w:szCs w:val="20"/>
          <w:lang w:val="cs-CZ"/>
        </w:rPr>
        <w:t>Experimentální část</w:t>
      </w:r>
    </w:p>
    <w:p w14:paraId="26906A10" w14:textId="24BAC5DA" w:rsidR="00BB2EA6" w:rsidRPr="00863373" w:rsidRDefault="003721D6" w:rsidP="003E2FA4">
      <w:pPr>
        <w:spacing w:after="120" w:line="276" w:lineRule="auto"/>
        <w:rPr>
          <w:rFonts w:ascii="Segoe UI" w:hAnsi="Segoe UI" w:cs="Segoe UI"/>
          <w:sz w:val="24"/>
          <w:szCs w:val="24"/>
        </w:rPr>
      </w:pPr>
      <w:r>
        <w:rPr>
          <w:rFonts w:ascii="Cambria" w:hAnsi="Cambria"/>
          <w:b/>
          <w:color w:val="0070C0"/>
        </w:rPr>
        <w:pict w14:anchorId="1AC578DF">
          <v:rect id="_x0000_i1025" style="width:450pt;height:.5pt" o:hrstd="t" o:hrnoshade="t" o:hr="t" fillcolor="#0070c0" stroked="f"/>
        </w:pict>
      </w:r>
    </w:p>
    <w:p w14:paraId="19351722" w14:textId="481EBCA5" w:rsidR="0024768A" w:rsidRPr="0024768A" w:rsidRDefault="00FF2A60" w:rsidP="0024768A">
      <w:pPr>
        <w:pStyle w:val="Zhlav"/>
        <w:spacing w:before="60" w:line="288" w:lineRule="auto"/>
        <w:jc w:val="both"/>
        <w:rPr>
          <w:rFonts w:ascii="Cambria" w:hAnsi="Cambria"/>
          <w:b/>
          <w:noProof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</w:rPr>
        <w:t>Postup stanovení</w:t>
      </w:r>
    </w:p>
    <w:p w14:paraId="4D082495" w14:textId="2F271312" w:rsidR="00331C99" w:rsidRDefault="00331C99" w:rsidP="00FF2A60">
      <w:pPr>
        <w:pStyle w:val="Zhlav"/>
        <w:spacing w:before="120"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  <w:r w:rsidRPr="00331C99">
        <w:rPr>
          <w:rFonts w:ascii="Cambria" w:hAnsi="Cambria"/>
          <w:noProof/>
          <w:sz w:val="18"/>
          <w:szCs w:val="18"/>
          <w:lang w:val="en-GB"/>
        </w:rPr>
        <w:t xml:space="preserve">K testování byly použity zkušební </w:t>
      </w:r>
      <w:r w:rsidR="000E6292">
        <w:rPr>
          <w:rFonts w:ascii="Cambria" w:hAnsi="Cambria"/>
          <w:noProof/>
          <w:sz w:val="18"/>
          <w:szCs w:val="18"/>
          <w:lang w:val="en-GB"/>
        </w:rPr>
        <w:t xml:space="preserve">nátěry, zasychající </w:t>
      </w:r>
      <w:r w:rsidR="003721D6">
        <w:rPr>
          <w:rFonts w:ascii="Cambria" w:hAnsi="Cambria"/>
          <w:noProof/>
          <w:sz w:val="18"/>
          <w:szCs w:val="18"/>
          <w:lang w:val="en-GB"/>
        </w:rPr>
        <w:t xml:space="preserve">min. </w:t>
      </w:r>
      <w:r w:rsidR="00352FDB">
        <w:rPr>
          <w:rFonts w:ascii="Cambria" w:hAnsi="Cambria"/>
          <w:noProof/>
          <w:sz w:val="18"/>
          <w:szCs w:val="18"/>
          <w:lang w:val="en-GB"/>
        </w:rPr>
        <w:t>14 dnů</w:t>
      </w:r>
      <w:r w:rsidR="000E6292">
        <w:rPr>
          <w:rFonts w:ascii="Cambria" w:hAnsi="Cambria"/>
          <w:noProof/>
          <w:sz w:val="18"/>
          <w:szCs w:val="18"/>
          <w:lang w:val="en-GB"/>
        </w:rPr>
        <w:t xml:space="preserve">. </w:t>
      </w:r>
      <w:r w:rsidRPr="00331C99">
        <w:rPr>
          <w:rFonts w:ascii="Cambria" w:hAnsi="Cambria"/>
          <w:noProof/>
          <w:sz w:val="18"/>
          <w:szCs w:val="18"/>
          <w:lang w:val="en-GB"/>
        </w:rPr>
        <w:t>Nátěry byly zhotoveny na vyznačené ploše 100</w:t>
      </w:r>
      <w:r w:rsidR="000E6292">
        <w:rPr>
          <w:rFonts w:ascii="Cambria" w:hAnsi="Cambria"/>
          <w:noProof/>
          <w:sz w:val="18"/>
          <w:szCs w:val="18"/>
          <w:lang w:val="en-GB"/>
        </w:rPr>
        <w:t xml:space="preserve"> </w:t>
      </w:r>
      <w:r w:rsidRPr="00331C99">
        <w:rPr>
          <w:rFonts w:ascii="Cambria" w:hAnsi="Cambria"/>
          <w:noProof/>
          <w:sz w:val="18"/>
          <w:szCs w:val="18"/>
          <w:lang w:val="en-GB"/>
        </w:rPr>
        <w:t>x</w:t>
      </w:r>
      <w:r w:rsidR="000E6292">
        <w:rPr>
          <w:rFonts w:ascii="Cambria" w:hAnsi="Cambria"/>
          <w:noProof/>
          <w:sz w:val="18"/>
          <w:szCs w:val="18"/>
          <w:lang w:val="en-GB"/>
        </w:rPr>
        <w:t xml:space="preserve"> </w:t>
      </w:r>
      <w:r w:rsidRPr="00331C99">
        <w:rPr>
          <w:rFonts w:ascii="Cambria" w:hAnsi="Cambria"/>
          <w:noProof/>
          <w:sz w:val="18"/>
          <w:szCs w:val="18"/>
          <w:lang w:val="en-GB"/>
        </w:rPr>
        <w:t xml:space="preserve">150 mm </w:t>
      </w:r>
      <w:r w:rsidR="000E6292">
        <w:rPr>
          <w:rFonts w:ascii="Cambria" w:hAnsi="Cambria"/>
          <w:noProof/>
          <w:sz w:val="18"/>
          <w:szCs w:val="18"/>
          <w:lang w:val="en-GB"/>
        </w:rPr>
        <w:t xml:space="preserve">skla, ocelového plechu a tvrzeného papíru. </w:t>
      </w:r>
      <w:r w:rsidRPr="00331C99">
        <w:rPr>
          <w:rFonts w:ascii="Cambria" w:hAnsi="Cambria"/>
          <w:noProof/>
          <w:sz w:val="18"/>
          <w:szCs w:val="18"/>
          <w:lang w:val="en-GB"/>
        </w:rPr>
        <w:t xml:space="preserve">   </w:t>
      </w:r>
    </w:p>
    <w:p w14:paraId="0999D907" w14:textId="77777777" w:rsidR="00331C99" w:rsidRDefault="00331C99" w:rsidP="0024768A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</w:p>
    <w:p w14:paraId="37641707" w14:textId="0B374F89" w:rsidR="0024768A" w:rsidRDefault="00FE2A52" w:rsidP="0024768A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en-GB"/>
        </w:rPr>
      </w:pPr>
      <w:r>
        <w:rPr>
          <w:rFonts w:ascii="Cambria" w:hAnsi="Cambria"/>
          <w:b/>
          <w:noProof/>
          <w:sz w:val="18"/>
          <w:szCs w:val="18"/>
          <w:lang w:val="en-GB"/>
        </w:rPr>
        <w:t>Zhotovení zkušební mřížky</w:t>
      </w:r>
    </w:p>
    <w:p w14:paraId="44A0655C" w14:textId="33344A9E" w:rsidR="00FF2A60" w:rsidRPr="00E11ADC" w:rsidRDefault="00FF2A60" w:rsidP="00FF2A60">
      <w:pPr>
        <w:pStyle w:val="Zhlav"/>
        <w:spacing w:before="120" w:line="264" w:lineRule="auto"/>
        <w:jc w:val="both"/>
        <w:rPr>
          <w:noProof/>
          <w:szCs w:val="24"/>
        </w:rPr>
      </w:pPr>
      <w:r w:rsidRPr="00E11ADC">
        <w:rPr>
          <w:noProof/>
          <w:szCs w:val="24"/>
        </w:rPr>
        <w:t>Ke stanovení přilnavost</w:t>
      </w:r>
      <w:r>
        <w:rPr>
          <w:noProof/>
          <w:szCs w:val="24"/>
        </w:rPr>
        <w:t>i</w:t>
      </w:r>
      <w:r w:rsidRPr="00E11ADC">
        <w:rPr>
          <w:noProof/>
          <w:szCs w:val="24"/>
          <w:lang w:val="x-none"/>
        </w:rPr>
        <w:t xml:space="preserve"> </w:t>
      </w:r>
      <w:r w:rsidR="00FE2A52">
        <w:rPr>
          <w:noProof/>
          <w:szCs w:val="24"/>
          <w:lang w:val="cs-CZ"/>
        </w:rPr>
        <w:t xml:space="preserve">nátěrů zhotovených </w:t>
      </w:r>
      <w:r w:rsidRPr="00E11ADC">
        <w:rPr>
          <w:noProof/>
          <w:szCs w:val="24"/>
          <w:lang w:val="x-none"/>
        </w:rPr>
        <w:t xml:space="preserve">na </w:t>
      </w:r>
      <w:r w:rsidR="00352FDB">
        <w:rPr>
          <w:noProof/>
          <w:szCs w:val="24"/>
        </w:rPr>
        <w:t>uvedených podkladech</w:t>
      </w:r>
      <w:r>
        <w:rPr>
          <w:noProof/>
          <w:szCs w:val="24"/>
        </w:rPr>
        <w:t xml:space="preserve"> byl</w:t>
      </w:r>
      <w:r w:rsidRPr="00E11ADC">
        <w:rPr>
          <w:noProof/>
          <w:szCs w:val="24"/>
          <w:lang w:val="x-none"/>
        </w:rPr>
        <w:t xml:space="preserve"> </w:t>
      </w:r>
      <w:r w:rsidRPr="00E11ADC">
        <w:rPr>
          <w:noProof/>
          <w:szCs w:val="24"/>
        </w:rPr>
        <w:t>použit kalibrovaný řezací nůž</w:t>
      </w:r>
      <w:r w:rsidRPr="00E11ADC">
        <w:rPr>
          <w:noProof/>
          <w:szCs w:val="24"/>
          <w:lang w:val="x-none"/>
        </w:rPr>
        <w:t xml:space="preserve"> </w:t>
      </w:r>
      <w:r w:rsidRPr="00E11ADC">
        <w:rPr>
          <w:noProof/>
          <w:szCs w:val="24"/>
        </w:rPr>
        <w:t>TQC CC 2000.</w:t>
      </w:r>
    </w:p>
    <w:p w14:paraId="444B97DE" w14:textId="212849EC" w:rsidR="00DC3C7B" w:rsidRDefault="00FE2A52" w:rsidP="00352FDB">
      <w:pPr>
        <w:pStyle w:val="Zhlav"/>
        <w:spacing w:before="60" w:line="288" w:lineRule="auto"/>
        <w:jc w:val="both"/>
        <w:rPr>
          <w:rFonts w:ascii="Cambria" w:hAnsi="Cambria"/>
          <w:noProof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t xml:space="preserve">Řezacím nožem byla v nátěru zhotovena mřížka dílčích </w:t>
      </w:r>
      <w:r w:rsidR="00352FDB">
        <w:rPr>
          <w:rFonts w:ascii="Cambria" w:hAnsi="Cambria"/>
          <w:noProof/>
          <w:sz w:val="18"/>
          <w:szCs w:val="18"/>
        </w:rPr>
        <w:t>čtverečků</w:t>
      </w:r>
      <w:r>
        <w:rPr>
          <w:rFonts w:ascii="Cambria" w:hAnsi="Cambria"/>
          <w:noProof/>
          <w:sz w:val="18"/>
          <w:szCs w:val="18"/>
        </w:rPr>
        <w:t xml:space="preserve"> 1 x 1 m</w:t>
      </w:r>
      <w:r w:rsidR="00352FDB">
        <w:rPr>
          <w:rFonts w:ascii="Cambria" w:hAnsi="Cambria"/>
          <w:noProof/>
          <w:sz w:val="18"/>
          <w:szCs w:val="18"/>
        </w:rPr>
        <w:t>m</w:t>
      </w:r>
      <w:r>
        <w:rPr>
          <w:rFonts w:ascii="Cambria" w:hAnsi="Cambria"/>
          <w:noProof/>
          <w:sz w:val="18"/>
          <w:szCs w:val="18"/>
        </w:rPr>
        <w:t xml:space="preserve"> (obr. 1) a sledována přilnavost jednotlivých čtverečků v porovnání se standardy (obr. 2).</w:t>
      </w:r>
    </w:p>
    <w:p w14:paraId="00D9A9B2" w14:textId="77777777" w:rsidR="00FE2A52" w:rsidRDefault="00FE2A52" w:rsidP="00FF2A60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</w:rPr>
      </w:pPr>
    </w:p>
    <w:p w14:paraId="705E629F" w14:textId="5D8AC49D" w:rsidR="00FE2A52" w:rsidRDefault="00FE2A52" w:rsidP="00FF2A60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4A59F12D" wp14:editId="1B89CFA7">
            <wp:extent cx="2804331" cy="255307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1833" cy="255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86348" w14:textId="77777777" w:rsidR="00FE2A52" w:rsidRPr="00FF2A60" w:rsidRDefault="00FE2A52" w:rsidP="00FF2A60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</w:rPr>
      </w:pPr>
    </w:p>
    <w:p w14:paraId="6CABD7EC" w14:textId="2B32715F" w:rsidR="00550147" w:rsidRPr="00331C99" w:rsidRDefault="00FE2A52" w:rsidP="00FE2A52">
      <w:pPr>
        <w:pStyle w:val="Zhlav"/>
        <w:spacing w:line="288" w:lineRule="auto"/>
        <w:jc w:val="center"/>
        <w:rPr>
          <w:rFonts w:ascii="Cambria" w:hAnsi="Cambria"/>
          <w:noProof/>
          <w:sz w:val="18"/>
          <w:szCs w:val="18"/>
          <w:lang w:val="en-GB"/>
        </w:rPr>
      </w:pPr>
      <w:r>
        <w:rPr>
          <w:rFonts w:ascii="Cambria" w:hAnsi="Cambria"/>
          <w:noProof/>
          <w:sz w:val="18"/>
          <w:szCs w:val="18"/>
          <w:lang w:val="en-GB"/>
        </w:rPr>
        <w:t>Obr. 1 – příklad zhotovené mřížky</w:t>
      </w:r>
    </w:p>
    <w:p w14:paraId="44653A5A" w14:textId="1BEA45C8" w:rsidR="00550147" w:rsidRDefault="00550147" w:rsidP="00550147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  <w:r w:rsidRPr="00331C99">
        <w:rPr>
          <w:rFonts w:ascii="Cambria" w:hAnsi="Cambria"/>
          <w:noProof/>
          <w:sz w:val="18"/>
          <w:szCs w:val="18"/>
          <w:lang w:val="en-GB"/>
        </w:rPr>
        <w:t xml:space="preserve"> </w:t>
      </w:r>
      <w:r w:rsidR="002C1303">
        <w:rPr>
          <w:rFonts w:ascii="Cambria" w:hAnsi="Cambria"/>
          <w:noProof/>
          <w:sz w:val="18"/>
          <w:szCs w:val="18"/>
          <w:lang w:val="en-GB"/>
        </w:rPr>
        <w:t xml:space="preserve"> </w:t>
      </w:r>
    </w:p>
    <w:p w14:paraId="03360C6D" w14:textId="4B8764B3" w:rsidR="002C1303" w:rsidRDefault="002C1303" w:rsidP="00550147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</w:p>
    <w:p w14:paraId="242EFC3A" w14:textId="77777777" w:rsidR="002C1303" w:rsidRDefault="002C1303" w:rsidP="00550147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</w:p>
    <w:p w14:paraId="7DAA42CE" w14:textId="77777777" w:rsidR="00FE2A52" w:rsidRDefault="00FE2A52" w:rsidP="00FE2A52">
      <w:pPr>
        <w:pStyle w:val="Zhlav"/>
        <w:spacing w:before="60" w:line="264" w:lineRule="auto"/>
        <w:jc w:val="center"/>
        <w:rPr>
          <w:noProof/>
          <w:szCs w:val="24"/>
          <w:lang w:val="x-none"/>
        </w:rPr>
      </w:pPr>
    </w:p>
    <w:p w14:paraId="07D1C9AF" w14:textId="77777777" w:rsidR="00FE2A52" w:rsidRPr="001B5973" w:rsidRDefault="00FE2A52" w:rsidP="00FE2A52">
      <w:pPr>
        <w:pStyle w:val="Zhlav"/>
        <w:spacing w:before="60" w:line="264" w:lineRule="auto"/>
        <w:jc w:val="center"/>
        <w:rPr>
          <w:noProof/>
          <w:szCs w:val="24"/>
          <w:lang w:val="x-none"/>
        </w:rPr>
      </w:pPr>
      <w:r>
        <w:rPr>
          <w:rFonts w:ascii="Tahoma" w:hAnsi="Tahoma" w:cs="Tahoma"/>
          <w:noProof/>
          <w:sz w:val="14"/>
          <w:szCs w:val="14"/>
        </w:rPr>
        <w:drawing>
          <wp:inline distT="0" distB="0" distL="0" distR="0" wp14:anchorId="38ED4BE2" wp14:editId="0284E304">
            <wp:extent cx="2595203" cy="2731089"/>
            <wp:effectExtent l="0" t="0" r="0" b="0"/>
            <wp:docPr id="11" name="Рисунок 7" descr="Přilnavost_mřížka_5_stupňů_OŘ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řilnavost_mřížka_5_stupňů_OŘE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79"/>
                    <a:stretch/>
                  </pic:blipFill>
                  <pic:spPr bwMode="auto">
                    <a:xfrm>
                      <a:off x="0" y="0"/>
                      <a:ext cx="2654086" cy="279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4"/>
          <w:szCs w:val="14"/>
        </w:rPr>
        <w:drawing>
          <wp:inline distT="0" distB="0" distL="0" distR="0" wp14:anchorId="3F05AFA0" wp14:editId="582F562E">
            <wp:extent cx="2457450" cy="2676525"/>
            <wp:effectExtent l="0" t="0" r="0" b="9525"/>
            <wp:docPr id="12" name="Рисунок 8" descr="Přilnavost_mřížka_5_stupňů_OŘ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řilnavost_mřížka_5_stupňů_OŘE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08" b="1261"/>
                    <a:stretch/>
                  </pic:blipFill>
                  <pic:spPr bwMode="auto">
                    <a:xfrm>
                      <a:off x="0" y="0"/>
                      <a:ext cx="24574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32E0F8" w14:textId="48F95086" w:rsidR="00FE2A52" w:rsidRPr="00FE2A52" w:rsidRDefault="00FE2A52" w:rsidP="00FE2A52">
      <w:pPr>
        <w:spacing w:before="120" w:after="40"/>
        <w:jc w:val="center"/>
        <w:rPr>
          <w:rFonts w:ascii="Cambria" w:eastAsia="Times New Roman" w:hAnsi="Cambria" w:cs="Times New Roman"/>
          <w:noProof/>
          <w:sz w:val="18"/>
          <w:szCs w:val="18"/>
          <w:lang w:eastAsia="cs-CZ"/>
        </w:rPr>
      </w:pPr>
      <w:r w:rsidRPr="00FE2A52">
        <w:rPr>
          <w:rFonts w:ascii="Cambria" w:eastAsia="Times New Roman" w:hAnsi="Cambria" w:cs="Times New Roman"/>
          <w:noProof/>
          <w:sz w:val="18"/>
          <w:szCs w:val="18"/>
          <w:lang w:eastAsia="cs-CZ"/>
        </w:rPr>
        <w:t xml:space="preserve">Obr. </w:t>
      </w:r>
      <w:r w:rsidR="003721D6">
        <w:rPr>
          <w:rFonts w:ascii="Cambria" w:eastAsia="Times New Roman" w:hAnsi="Cambria" w:cs="Times New Roman"/>
          <w:noProof/>
          <w:sz w:val="18"/>
          <w:szCs w:val="18"/>
          <w:lang w:eastAsia="cs-CZ"/>
        </w:rPr>
        <w:t>2</w:t>
      </w:r>
      <w:r w:rsidRPr="00FE2A52">
        <w:rPr>
          <w:rFonts w:ascii="Cambria" w:eastAsia="Times New Roman" w:hAnsi="Cambria" w:cs="Times New Roman"/>
          <w:noProof/>
          <w:sz w:val="18"/>
          <w:szCs w:val="18"/>
          <w:lang w:eastAsia="cs-CZ"/>
        </w:rPr>
        <w:t xml:space="preserve"> – Stupnice standardů stupňů přilnavosti</w:t>
      </w:r>
    </w:p>
    <w:p w14:paraId="6FE6C93F" w14:textId="77777777" w:rsidR="00FE2A52" w:rsidRDefault="00FE2A52" w:rsidP="00550147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en-GB"/>
        </w:rPr>
      </w:pPr>
    </w:p>
    <w:p w14:paraId="12D835C7" w14:textId="77777777" w:rsidR="00FE2A52" w:rsidRDefault="00FE2A52" w:rsidP="00FE2A52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en-GB"/>
        </w:rPr>
      </w:pPr>
      <w:r w:rsidRPr="00792011">
        <w:rPr>
          <w:rFonts w:ascii="Cambria" w:hAnsi="Cambria"/>
          <w:b/>
          <w:noProof/>
          <w:sz w:val="18"/>
          <w:szCs w:val="18"/>
          <w:lang w:val="en-GB"/>
        </w:rPr>
        <w:t xml:space="preserve">Stanovení </w:t>
      </w:r>
      <w:r>
        <w:rPr>
          <w:rFonts w:ascii="Cambria" w:hAnsi="Cambria"/>
          <w:b/>
          <w:noProof/>
          <w:sz w:val="18"/>
          <w:szCs w:val="18"/>
          <w:lang w:val="en-GB"/>
        </w:rPr>
        <w:t>přilnavosti</w:t>
      </w:r>
      <w:r w:rsidRPr="00792011">
        <w:rPr>
          <w:rFonts w:ascii="Cambria" w:hAnsi="Cambria"/>
          <w:b/>
          <w:noProof/>
          <w:sz w:val="18"/>
          <w:szCs w:val="18"/>
          <w:lang w:val="en-GB"/>
        </w:rPr>
        <w:t xml:space="preserve">   </w:t>
      </w:r>
    </w:p>
    <w:p w14:paraId="5EC1BE3D" w14:textId="77777777" w:rsidR="003605E0" w:rsidRDefault="003605E0" w:rsidP="00550147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en-GB"/>
        </w:rPr>
      </w:pPr>
    </w:p>
    <w:p w14:paraId="5F5A6E05" w14:textId="254297C4" w:rsidR="00550147" w:rsidRDefault="00550147" w:rsidP="00550147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  <w:r>
        <w:rPr>
          <w:rFonts w:ascii="Cambria" w:hAnsi="Cambria"/>
          <w:b/>
          <w:noProof/>
          <w:sz w:val="18"/>
          <w:szCs w:val="18"/>
          <w:lang w:val="en-GB"/>
        </w:rPr>
        <w:t xml:space="preserve"> </w:t>
      </w:r>
      <w:r w:rsidRPr="00331C99">
        <w:rPr>
          <w:rFonts w:ascii="Cambria" w:hAnsi="Cambria"/>
          <w:noProof/>
          <w:sz w:val="18"/>
          <w:szCs w:val="18"/>
          <w:lang w:val="en-GB"/>
        </w:rPr>
        <w:t xml:space="preserve">   </w:t>
      </w:r>
      <w:r w:rsidR="00FE2A52">
        <w:rPr>
          <w:rFonts w:ascii="Cambria" w:hAnsi="Cambria"/>
          <w:noProof/>
          <w:sz w:val="18"/>
          <w:szCs w:val="18"/>
          <w:lang w:val="en-GB"/>
        </w:rPr>
        <w:t>U zhotovené mřížky se po jemném očištění štětcem pomocí lupy porovnává stav soustavy čtverečků mřížky se stupnicí standardů a př</w:t>
      </w:r>
      <w:r w:rsidR="000E6292">
        <w:rPr>
          <w:rFonts w:ascii="Cambria" w:hAnsi="Cambria"/>
          <w:noProof/>
          <w:sz w:val="18"/>
          <w:szCs w:val="18"/>
          <w:lang w:val="en-GB"/>
        </w:rPr>
        <w:t>ilnavost se hodnotí stupněm 0 až 5 od vysoce přiln</w:t>
      </w:r>
      <w:r w:rsidR="00352FDB">
        <w:rPr>
          <w:rFonts w:ascii="Cambria" w:hAnsi="Cambria"/>
          <w:noProof/>
          <w:sz w:val="18"/>
          <w:szCs w:val="18"/>
          <w:lang w:val="en-GB"/>
        </w:rPr>
        <w:t xml:space="preserve">avé povrchové úpravy </w:t>
      </w:r>
      <w:r w:rsidR="000E6292">
        <w:rPr>
          <w:rFonts w:ascii="Cambria" w:hAnsi="Cambria"/>
          <w:noProof/>
          <w:sz w:val="18"/>
          <w:szCs w:val="18"/>
          <w:lang w:val="en-GB"/>
        </w:rPr>
        <w:t>k nátěru nepřilnavému</w:t>
      </w:r>
      <w:r w:rsidR="00352FDB">
        <w:rPr>
          <w:rFonts w:ascii="Cambria" w:hAnsi="Cambria"/>
          <w:noProof/>
          <w:sz w:val="18"/>
          <w:szCs w:val="18"/>
          <w:lang w:val="en-GB"/>
        </w:rPr>
        <w:t xml:space="preserve">, </w:t>
      </w:r>
      <w:r w:rsidR="000E6292">
        <w:rPr>
          <w:rFonts w:ascii="Cambria" w:hAnsi="Cambria"/>
          <w:noProof/>
          <w:sz w:val="18"/>
          <w:szCs w:val="18"/>
          <w:lang w:val="en-GB"/>
        </w:rPr>
        <w:t>nevyhovující kvality.</w:t>
      </w:r>
    </w:p>
    <w:p w14:paraId="5E1D052B" w14:textId="77777777" w:rsidR="003605E0" w:rsidRDefault="003605E0" w:rsidP="00550147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</w:p>
    <w:p w14:paraId="59119E50" w14:textId="5620704A" w:rsidR="00E341DA" w:rsidRPr="009860AD" w:rsidRDefault="003605E0" w:rsidP="000E6292">
      <w:pPr>
        <w:pStyle w:val="Zhlav"/>
        <w:spacing w:line="288" w:lineRule="auto"/>
        <w:jc w:val="both"/>
        <w:rPr>
          <w:color w:val="0070C0"/>
          <w:sz w:val="28"/>
          <w:szCs w:val="28"/>
          <w:lang w:val="cs-CZ"/>
        </w:rPr>
      </w:pPr>
      <w:r>
        <w:rPr>
          <w:rFonts w:ascii="Cambria" w:hAnsi="Cambria"/>
          <w:noProof/>
          <w:sz w:val="18"/>
          <w:szCs w:val="18"/>
          <w:lang w:val="en-GB"/>
        </w:rPr>
        <w:t xml:space="preserve"> </w:t>
      </w:r>
      <w:r w:rsidR="003A17FC" w:rsidRPr="00863373">
        <w:rPr>
          <w:rFonts w:ascii="Segoe UI" w:hAnsi="Segoe UI" w:cs="Segoe UI"/>
          <w:noProof/>
          <w:lang w:val="cs-CZ" w:eastAsia="cs-CZ"/>
        </w:rPr>
        <w:drawing>
          <wp:inline distT="0" distB="0" distL="0" distR="0" wp14:anchorId="14CDB313" wp14:editId="325BADD4">
            <wp:extent cx="336550" cy="336550"/>
            <wp:effectExtent l="0" t="0" r="6350" b="6350"/>
            <wp:docPr id="3" name="Obrázek 3" descr="E:\šablony\Book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šablony\Book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7FC">
        <w:rPr>
          <w:rFonts w:asciiTheme="majorHAnsi" w:hAnsiTheme="majorHAnsi"/>
          <w:color w:val="0070C0"/>
          <w:sz w:val="24"/>
          <w:szCs w:val="24"/>
          <w:lang w:val="cs-CZ"/>
        </w:rPr>
        <w:t xml:space="preserve">   </w:t>
      </w:r>
      <w:r w:rsidR="0024768A">
        <w:rPr>
          <w:rFonts w:asciiTheme="majorHAnsi" w:hAnsiTheme="majorHAnsi"/>
          <w:b/>
          <w:color w:val="0070C0"/>
          <w:lang w:val="cs-CZ"/>
        </w:rPr>
        <w:t>Souhrn výsledků a z</w:t>
      </w:r>
      <w:r w:rsidR="00E341DA" w:rsidRPr="00553579">
        <w:rPr>
          <w:rFonts w:asciiTheme="majorHAnsi" w:hAnsiTheme="majorHAnsi"/>
          <w:b/>
          <w:color w:val="0070C0"/>
          <w:lang w:val="cs-CZ"/>
        </w:rPr>
        <w:t>ávěr</w:t>
      </w:r>
      <w:r w:rsidR="00E341DA" w:rsidRPr="00553579">
        <w:rPr>
          <w:b/>
          <w:color w:val="0070C0"/>
          <w:lang w:val="cs-CZ"/>
        </w:rPr>
        <w:t xml:space="preserve"> </w:t>
      </w:r>
      <w:r w:rsidR="003721D6">
        <w:rPr>
          <w:color w:val="0070C0"/>
        </w:rPr>
        <w:pict w14:anchorId="3773D4E5">
          <v:rect id="_x0000_i1026" style="width:450pt;height:.5pt" o:hrstd="t" o:hrnoshade="t" o:hr="t" fillcolor="#0070c0" stroked="f"/>
        </w:pict>
      </w:r>
    </w:p>
    <w:p w14:paraId="7F6FDCCC" w14:textId="53711158" w:rsidR="0024768A" w:rsidRDefault="0024768A" w:rsidP="0024768A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  <w:r w:rsidRPr="001E7FED">
        <w:rPr>
          <w:rFonts w:ascii="Cambria" w:hAnsi="Cambria"/>
          <w:b/>
          <w:noProof/>
          <w:sz w:val="18"/>
          <w:szCs w:val="18"/>
          <w:lang w:val="cs-CZ"/>
        </w:rPr>
        <w:t>Výsledky praktického cvičení</w:t>
      </w:r>
      <w:r w:rsidR="003721D6">
        <w:rPr>
          <w:rFonts w:ascii="Cambria" w:hAnsi="Cambria"/>
          <w:b/>
          <w:noProof/>
          <w:sz w:val="18"/>
          <w:szCs w:val="18"/>
          <w:lang w:val="cs-CZ"/>
        </w:rPr>
        <w:t xml:space="preserve"> (příklad)</w:t>
      </w:r>
      <w:bookmarkStart w:id="0" w:name="_GoBack"/>
      <w:bookmarkEnd w:id="0"/>
      <w:r w:rsidRPr="001E7FED">
        <w:rPr>
          <w:rFonts w:ascii="Cambria" w:hAnsi="Cambria"/>
          <w:b/>
          <w:noProof/>
          <w:sz w:val="18"/>
          <w:szCs w:val="18"/>
          <w:lang w:val="cs-CZ"/>
        </w:rPr>
        <w:t>:</w:t>
      </w:r>
    </w:p>
    <w:p w14:paraId="65F5DD94" w14:textId="77777777" w:rsidR="003721D6" w:rsidRPr="001E7FED" w:rsidRDefault="003721D6" w:rsidP="0024768A">
      <w:pPr>
        <w:pStyle w:val="Zhlav"/>
        <w:spacing w:line="288" w:lineRule="auto"/>
        <w:jc w:val="both"/>
        <w:rPr>
          <w:rFonts w:ascii="Cambria" w:hAnsi="Cambria"/>
          <w:b/>
          <w:noProof/>
          <w:sz w:val="18"/>
          <w:szCs w:val="18"/>
          <w:lang w:val="cs-CZ"/>
        </w:rPr>
      </w:pPr>
    </w:p>
    <w:p w14:paraId="16CB2604" w14:textId="160477BF" w:rsidR="00550147" w:rsidRDefault="000E6292" w:rsidP="00550147">
      <w:pPr>
        <w:pStyle w:val="Zhlav"/>
        <w:numPr>
          <w:ilvl w:val="0"/>
          <w:numId w:val="7"/>
        </w:numPr>
        <w:spacing w:line="288" w:lineRule="auto"/>
        <w:jc w:val="both"/>
        <w:rPr>
          <w:rFonts w:ascii="Cambria" w:hAnsi="Cambria"/>
          <w:noProof/>
          <w:sz w:val="18"/>
          <w:szCs w:val="18"/>
          <w:lang w:val="cs-CZ"/>
        </w:rPr>
      </w:pPr>
      <w:r>
        <w:rPr>
          <w:rFonts w:ascii="Cambria" w:hAnsi="Cambria"/>
          <w:noProof/>
          <w:sz w:val="18"/>
          <w:szCs w:val="18"/>
          <w:lang w:val="cs-CZ"/>
        </w:rPr>
        <w:t>Přilnavost nátěru na skle</w:t>
      </w:r>
      <w:r w:rsidR="00550147" w:rsidRPr="00550147">
        <w:rPr>
          <w:rFonts w:ascii="Cambria" w:hAnsi="Cambria"/>
          <w:noProof/>
          <w:sz w:val="18"/>
          <w:szCs w:val="18"/>
          <w:lang w:val="cs-CZ"/>
        </w:rPr>
        <w:t>:</w:t>
      </w:r>
      <w:r>
        <w:rPr>
          <w:rFonts w:ascii="Cambria" w:hAnsi="Cambria"/>
          <w:noProof/>
          <w:sz w:val="18"/>
          <w:szCs w:val="18"/>
          <w:lang w:val="cs-CZ"/>
        </w:rPr>
        <w:t xml:space="preserve"> stupeň 2, snížená přilnavost</w:t>
      </w:r>
    </w:p>
    <w:p w14:paraId="655232C6" w14:textId="2560FD46" w:rsidR="00DC3C7B" w:rsidRPr="00DC3C7B" w:rsidRDefault="000E6292" w:rsidP="00550147">
      <w:pPr>
        <w:pStyle w:val="Zhlav"/>
        <w:numPr>
          <w:ilvl w:val="0"/>
          <w:numId w:val="7"/>
        </w:numPr>
        <w:spacing w:line="288" w:lineRule="auto"/>
        <w:jc w:val="both"/>
        <w:rPr>
          <w:rFonts w:ascii="Cambria" w:hAnsi="Cambria"/>
          <w:noProof/>
          <w:sz w:val="18"/>
          <w:szCs w:val="18"/>
          <w:lang w:val="cs-CZ"/>
        </w:rPr>
      </w:pPr>
      <w:r>
        <w:rPr>
          <w:rFonts w:ascii="Cambria" w:hAnsi="Cambria"/>
          <w:noProof/>
          <w:sz w:val="18"/>
          <w:szCs w:val="18"/>
          <w:lang w:val="cs-CZ"/>
        </w:rPr>
        <w:t>Přilnavost nátěru na plechu</w:t>
      </w:r>
      <w:r w:rsidR="00DC3C7B" w:rsidRPr="00DC3C7B">
        <w:rPr>
          <w:rFonts w:ascii="Cambria" w:hAnsi="Cambria"/>
          <w:noProof/>
          <w:sz w:val="18"/>
          <w:szCs w:val="18"/>
          <w:lang w:val="cs-CZ"/>
        </w:rPr>
        <w:t>:</w:t>
      </w:r>
      <w:r>
        <w:rPr>
          <w:rFonts w:ascii="Cambria" w:hAnsi="Cambria"/>
          <w:noProof/>
          <w:sz w:val="18"/>
          <w:szCs w:val="18"/>
          <w:lang w:val="cs-CZ"/>
        </w:rPr>
        <w:t xml:space="preserve"> stupeň 0-1, vyhovující přilnavost</w:t>
      </w:r>
    </w:p>
    <w:p w14:paraId="6CC21A3D" w14:textId="5CA9E3FE" w:rsidR="00114B06" w:rsidRPr="000E6292" w:rsidRDefault="000E6292" w:rsidP="00416EAC">
      <w:pPr>
        <w:pStyle w:val="Zhlav"/>
        <w:numPr>
          <w:ilvl w:val="0"/>
          <w:numId w:val="7"/>
        </w:numPr>
        <w:spacing w:line="288" w:lineRule="auto"/>
        <w:jc w:val="both"/>
        <w:rPr>
          <w:rFonts w:ascii="Cambria" w:hAnsi="Cambria"/>
          <w:noProof/>
          <w:sz w:val="18"/>
          <w:szCs w:val="18"/>
          <w:lang w:val="cs-CZ"/>
        </w:rPr>
      </w:pPr>
      <w:r>
        <w:rPr>
          <w:rFonts w:ascii="Cambria" w:hAnsi="Cambria"/>
          <w:noProof/>
          <w:sz w:val="18"/>
          <w:szCs w:val="18"/>
          <w:lang w:val="cs-CZ"/>
        </w:rPr>
        <w:t>Přilnavost povrchové úpravy</w:t>
      </w:r>
      <w:r w:rsidRPr="000E6292">
        <w:rPr>
          <w:rFonts w:ascii="Cambria" w:hAnsi="Cambria"/>
          <w:noProof/>
          <w:sz w:val="18"/>
          <w:szCs w:val="18"/>
          <w:lang w:val="cs-CZ"/>
        </w:rPr>
        <w:t xml:space="preserve"> tvrzeného papíru:</w:t>
      </w:r>
      <w:r w:rsidR="00DC3C7B" w:rsidRPr="000E6292">
        <w:rPr>
          <w:rFonts w:ascii="Cambria" w:hAnsi="Cambria"/>
          <w:noProof/>
          <w:sz w:val="18"/>
          <w:szCs w:val="18"/>
          <w:lang w:val="cs-CZ"/>
        </w:rPr>
        <w:t xml:space="preserve"> </w:t>
      </w:r>
      <w:r w:rsidR="00DC3C7B" w:rsidRPr="003605E0">
        <w:rPr>
          <w:rFonts w:ascii="Cambria" w:hAnsi="Cambria"/>
          <w:noProof/>
          <w:sz w:val="18"/>
          <w:szCs w:val="18"/>
          <w:lang w:val="cs-CZ"/>
        </w:rPr>
        <w:t xml:space="preserve"> </w:t>
      </w:r>
      <w:r>
        <w:rPr>
          <w:rFonts w:ascii="Cambria" w:hAnsi="Cambria"/>
          <w:noProof/>
          <w:sz w:val="18"/>
          <w:szCs w:val="18"/>
          <w:lang w:val="cs-CZ"/>
        </w:rPr>
        <w:t>stupeň 3, nízká kvalita přilnavosti.</w:t>
      </w:r>
    </w:p>
    <w:p w14:paraId="6D758F78" w14:textId="77777777" w:rsidR="00114B06" w:rsidRPr="000E6292" w:rsidRDefault="00114B06" w:rsidP="00114B06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cs-CZ"/>
        </w:rPr>
      </w:pPr>
    </w:p>
    <w:p w14:paraId="520DD9D1" w14:textId="77777777" w:rsidR="00114B06" w:rsidRPr="000E6292" w:rsidRDefault="00114B06" w:rsidP="00114B06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cs-CZ"/>
        </w:rPr>
      </w:pPr>
    </w:p>
    <w:p w14:paraId="7869FE10" w14:textId="77777777" w:rsidR="00114B06" w:rsidRPr="000E6292" w:rsidRDefault="00114B06" w:rsidP="00114B06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cs-CZ"/>
        </w:rPr>
      </w:pPr>
    </w:p>
    <w:p w14:paraId="1544B589" w14:textId="77777777" w:rsidR="00114B06" w:rsidRPr="000E6292" w:rsidRDefault="00114B06" w:rsidP="00114B06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cs-CZ"/>
        </w:rPr>
      </w:pPr>
    </w:p>
    <w:p w14:paraId="07F4F6DB" w14:textId="77777777" w:rsidR="00114B06" w:rsidRPr="000E6292" w:rsidRDefault="00114B06" w:rsidP="00114B06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cs-CZ"/>
        </w:rPr>
      </w:pPr>
    </w:p>
    <w:p w14:paraId="7DDBF464" w14:textId="7C9C6382" w:rsidR="00FF2A60" w:rsidRPr="003721D6" w:rsidRDefault="00FF2A60" w:rsidP="000E6292">
      <w:pPr>
        <w:pStyle w:val="Zhlav"/>
        <w:spacing w:before="120" w:after="60" w:line="288" w:lineRule="auto"/>
        <w:jc w:val="both"/>
        <w:rPr>
          <w:i/>
          <w:noProof/>
          <w:szCs w:val="24"/>
          <w:u w:val="single"/>
          <w:lang w:val="cs-CZ"/>
        </w:rPr>
      </w:pPr>
      <w:r w:rsidRPr="000E6292">
        <w:rPr>
          <w:b/>
          <w:noProof/>
          <w:szCs w:val="24"/>
          <w:lang w:val="cs-CZ"/>
        </w:rPr>
        <w:t xml:space="preserve">   </w:t>
      </w:r>
    </w:p>
    <w:p w14:paraId="7A3B98E2" w14:textId="77777777" w:rsidR="00FF2A60" w:rsidRPr="003721D6" w:rsidRDefault="00FF2A60" w:rsidP="00FF2A60">
      <w:pPr>
        <w:pStyle w:val="Zhlav"/>
        <w:spacing w:before="60" w:line="264" w:lineRule="auto"/>
        <w:jc w:val="both"/>
        <w:rPr>
          <w:noProof/>
          <w:szCs w:val="24"/>
          <w:lang w:val="cs-CZ"/>
        </w:rPr>
      </w:pPr>
    </w:p>
    <w:p w14:paraId="5B652058" w14:textId="5EB11716" w:rsidR="00FF2A60" w:rsidRPr="003721D6" w:rsidRDefault="00FF2A60" w:rsidP="00FF2A60">
      <w:pPr>
        <w:pStyle w:val="Zhlav"/>
        <w:spacing w:before="60" w:line="264" w:lineRule="auto"/>
        <w:jc w:val="center"/>
        <w:rPr>
          <w:noProof/>
          <w:szCs w:val="24"/>
          <w:lang w:val="cs-CZ"/>
        </w:rPr>
      </w:pPr>
    </w:p>
    <w:p w14:paraId="5BAED7DE" w14:textId="573E9FDA" w:rsidR="00114B06" w:rsidRPr="003721D6" w:rsidRDefault="00114B06" w:rsidP="00114B06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cs-CZ"/>
        </w:rPr>
      </w:pPr>
    </w:p>
    <w:p w14:paraId="3976EE11" w14:textId="77777777" w:rsidR="00114B06" w:rsidRPr="002C1303" w:rsidRDefault="00114B06" w:rsidP="00114B06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</w:p>
    <w:p w14:paraId="2297CF47" w14:textId="77777777" w:rsidR="00114B06" w:rsidRPr="002C1303" w:rsidRDefault="00114B06" w:rsidP="00114B06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</w:p>
    <w:p w14:paraId="34F7AD1D" w14:textId="77777777" w:rsidR="00114B06" w:rsidRPr="002C1303" w:rsidRDefault="00114B06" w:rsidP="00114B06">
      <w:pPr>
        <w:pStyle w:val="Zhlav"/>
        <w:spacing w:line="288" w:lineRule="auto"/>
        <w:jc w:val="both"/>
        <w:rPr>
          <w:rFonts w:ascii="Cambria" w:hAnsi="Cambria"/>
          <w:noProof/>
          <w:sz w:val="18"/>
          <w:szCs w:val="18"/>
          <w:lang w:val="en-GB"/>
        </w:rPr>
      </w:pPr>
    </w:p>
    <w:p w14:paraId="3421F593" w14:textId="77777777" w:rsidR="00114B06" w:rsidRPr="002C1303" w:rsidRDefault="00114B06" w:rsidP="00114B06">
      <w:pPr>
        <w:spacing w:after="120" w:line="288" w:lineRule="auto"/>
        <w:jc w:val="both"/>
        <w:outlineLvl w:val="0"/>
        <w:rPr>
          <w:rFonts w:ascii="Cambria" w:hAnsi="Cambria" w:cs="Tahoma"/>
          <w:sz w:val="18"/>
          <w:szCs w:val="18"/>
          <w:lang w:val="en-GB"/>
        </w:rPr>
      </w:pPr>
      <w:r w:rsidRPr="002C1303">
        <w:rPr>
          <w:rFonts w:ascii="Cambria" w:hAnsi="Cambria" w:cs="Tahoma"/>
          <w:sz w:val="18"/>
          <w:szCs w:val="18"/>
          <w:lang w:val="en-GB"/>
        </w:rPr>
        <w:t xml:space="preserve">           </w:t>
      </w:r>
    </w:p>
    <w:p w14:paraId="15D6DAE7" w14:textId="77777777" w:rsidR="00114B06" w:rsidRPr="002C1303" w:rsidRDefault="00114B06" w:rsidP="00114B06">
      <w:pPr>
        <w:overflowPunct w:val="0"/>
        <w:autoSpaceDE w:val="0"/>
        <w:autoSpaceDN w:val="0"/>
        <w:adjustRightInd w:val="0"/>
        <w:rPr>
          <w:rFonts w:ascii="Cambria" w:hAnsi="Cambria"/>
          <w:sz w:val="18"/>
          <w:szCs w:val="18"/>
          <w:lang w:val="en-GB"/>
        </w:rPr>
      </w:pPr>
    </w:p>
    <w:p w14:paraId="16D93732" w14:textId="77777777" w:rsidR="00114B06" w:rsidRPr="002C1303" w:rsidRDefault="00114B06" w:rsidP="00CD36F7">
      <w:pPr>
        <w:pStyle w:val="Zhlav"/>
        <w:spacing w:before="60"/>
        <w:jc w:val="both"/>
        <w:rPr>
          <w:rFonts w:ascii="Cambria" w:hAnsi="Cambria"/>
          <w:noProof/>
          <w:color w:val="auto"/>
          <w:sz w:val="18"/>
          <w:szCs w:val="18"/>
          <w:lang w:val="en-GB"/>
        </w:rPr>
      </w:pPr>
    </w:p>
    <w:sectPr w:rsidR="00114B06" w:rsidRPr="002C1303" w:rsidSect="0092556E">
      <w:headerReference w:type="default" r:id="rId11"/>
      <w:footerReference w:type="default" r:id="rId12"/>
      <w:pgSz w:w="11906" w:h="16838" w:code="9"/>
      <w:pgMar w:top="1077" w:right="1225" w:bottom="1134" w:left="2019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4111" w14:textId="77777777" w:rsidR="004C4A20" w:rsidRDefault="004C4A20">
      <w:pPr>
        <w:spacing w:after="0" w:line="240" w:lineRule="auto"/>
      </w:pPr>
      <w:r>
        <w:separator/>
      </w:r>
    </w:p>
  </w:endnote>
  <w:endnote w:type="continuationSeparator" w:id="0">
    <w:p w14:paraId="46539E1E" w14:textId="77777777" w:rsidR="004C4A20" w:rsidRDefault="004C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DF72" w14:textId="77777777" w:rsidR="00867F0F" w:rsidRDefault="00867F0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0BDF73" wp14:editId="5289F0C5">
              <wp:simplePos x="0" y="0"/>
              <wp:positionH relativeFrom="margin">
                <wp:posOffset>2540</wp:posOffset>
              </wp:positionH>
              <wp:positionV relativeFrom="bottomMargin">
                <wp:posOffset>114300</wp:posOffset>
              </wp:positionV>
              <wp:extent cx="5943600" cy="374650"/>
              <wp:effectExtent l="0" t="0" r="0" b="635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8181"/>
                            <w:gridCol w:w="1212"/>
                          </w:tblGrid>
                          <w:tr w:rsidR="00867F0F" w14:paraId="4C0BDF78" w14:textId="77777777" w:rsidTr="00AA1BBC">
                            <w:tc>
                              <w:tcPr>
                                <w:tcW w:w="4355" w:type="pct"/>
                                <w:tcBorders>
                                  <w:top w:val="single" w:sz="4" w:space="0" w:color="auto"/>
                                </w:tcBorders>
                              </w:tcPr>
                              <w:p w14:paraId="4C0BDF76" w14:textId="09A4B981" w:rsidR="00867F0F" w:rsidRPr="001875DD" w:rsidRDefault="00867F0F">
                                <w:pPr>
                                  <w:pStyle w:val="Zpat"/>
                                  <w:rPr>
                                    <w:lang w:val="cs-CZ"/>
                                  </w:rPr>
                                </w:pPr>
                                <w:r>
                                  <w:rPr>
                                    <w:lang w:val="cs-CZ"/>
                                  </w:rPr>
                                  <w:t xml:space="preserve">   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Praktické cvičení </w:t>
                                </w:r>
                                <w:r w:rsidR="00FF2A60">
                                  <w:rPr>
                                    <w:lang w:val="cs-CZ"/>
                                  </w:rPr>
                                  <w:t>7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 – </w:t>
                                </w:r>
                                <w:r w:rsidR="003605E0">
                                  <w:rPr>
                                    <w:lang w:val="cs-CZ"/>
                                  </w:rPr>
                                  <w:t xml:space="preserve">Stanovení </w:t>
                                </w:r>
                                <w:r w:rsidR="00FF2A60">
                                  <w:rPr>
                                    <w:lang w:val="cs-CZ"/>
                                  </w:rPr>
                                  <w:t>přilnavosti</w:t>
                                </w:r>
                                <w:r w:rsidR="003605E0">
                                  <w:rPr>
                                    <w:lang w:val="cs-CZ"/>
                                  </w:rPr>
                                  <w:t xml:space="preserve"> nátěru </w:t>
                                </w:r>
                                <w:r w:rsidR="00FF2A60">
                                  <w:rPr>
                                    <w:lang w:val="cs-CZ"/>
                                  </w:rPr>
                                  <w:t>mřížkovou metodou</w:t>
                                </w:r>
                                <w:r w:rsidR="00BA088B">
                                  <w:rPr>
                                    <w:lang w:val="cs-CZ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4" w:space="0" w:color="auto"/>
                                </w:tcBorders>
                              </w:tcPr>
                              <w:p w14:paraId="4C0BDF77" w14:textId="07F8678B" w:rsidR="00867F0F" w:rsidRDefault="00867F0F" w:rsidP="001A53EC">
                                <w:pPr>
                                  <w:pStyle w:val="Zpat"/>
                                  <w:jc w:val="center"/>
                                </w:pPr>
                                <w:r w:rsidRPr="001875DD">
                                  <w:rPr>
                                    <w:lang w:val="cs-CZ"/>
                                  </w:rPr>
                                  <w:t xml:space="preserve">        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C0BDF79" w14:textId="77777777" w:rsidR="00867F0F" w:rsidRDefault="00867F0F">
                          <w:pPr>
                            <w:pStyle w:val="Zpa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0BDF7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.2pt;margin-top:9pt;width:468pt;height:29.5pt;z-index:25165721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8181"/>
                      <w:gridCol w:w="1212"/>
                    </w:tblGrid>
                    <w:tr w:rsidR="00867F0F" w14:paraId="4C0BDF78" w14:textId="77777777" w:rsidTr="00AA1BBC">
                      <w:tc>
                        <w:tcPr>
                          <w:tcW w:w="4355" w:type="pct"/>
                          <w:tcBorders>
                            <w:top w:val="single" w:sz="4" w:space="0" w:color="auto"/>
                          </w:tcBorders>
                        </w:tcPr>
                        <w:p w14:paraId="4C0BDF76" w14:textId="09A4B981" w:rsidR="00867F0F" w:rsidRPr="001875DD" w:rsidRDefault="00867F0F">
                          <w:pPr>
                            <w:pStyle w:val="Zpat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 xml:space="preserve">   </w:t>
                          </w:r>
                          <w:r w:rsidR="00BA088B">
                            <w:rPr>
                              <w:lang w:val="cs-CZ"/>
                            </w:rPr>
                            <w:t xml:space="preserve">Praktické cvičení </w:t>
                          </w:r>
                          <w:r w:rsidR="00FF2A60">
                            <w:rPr>
                              <w:lang w:val="cs-CZ"/>
                            </w:rPr>
                            <w:t>7</w:t>
                          </w:r>
                          <w:r w:rsidR="00BA088B">
                            <w:rPr>
                              <w:lang w:val="cs-CZ"/>
                            </w:rPr>
                            <w:t xml:space="preserve"> – </w:t>
                          </w:r>
                          <w:r w:rsidR="003605E0">
                            <w:rPr>
                              <w:lang w:val="cs-CZ"/>
                            </w:rPr>
                            <w:t xml:space="preserve">Stanovení </w:t>
                          </w:r>
                          <w:r w:rsidR="00FF2A60">
                            <w:rPr>
                              <w:lang w:val="cs-CZ"/>
                            </w:rPr>
                            <w:t>přilnavosti</w:t>
                          </w:r>
                          <w:r w:rsidR="003605E0">
                            <w:rPr>
                              <w:lang w:val="cs-CZ"/>
                            </w:rPr>
                            <w:t xml:space="preserve"> nátěru </w:t>
                          </w:r>
                          <w:r w:rsidR="00FF2A60">
                            <w:rPr>
                              <w:lang w:val="cs-CZ"/>
                            </w:rPr>
                            <w:t>mřížkovou metodou</w:t>
                          </w:r>
                          <w:r w:rsidR="00BA088B">
                            <w:rPr>
                              <w:lang w:val="cs-CZ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4" w:space="0" w:color="auto"/>
                          </w:tcBorders>
                        </w:tcPr>
                        <w:p w14:paraId="4C0BDF77" w14:textId="07F8678B" w:rsidR="00867F0F" w:rsidRDefault="00867F0F" w:rsidP="001A53EC">
                          <w:pPr>
                            <w:pStyle w:val="Zpat"/>
                            <w:jc w:val="center"/>
                          </w:pPr>
                          <w:r w:rsidRPr="001875DD">
                            <w:rPr>
                              <w:lang w:val="cs-CZ"/>
                            </w:rPr>
                            <w:t xml:space="preserve">        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C0BDF79" w14:textId="77777777" w:rsidR="00867F0F" w:rsidRDefault="00867F0F">
                    <w:pPr>
                      <w:pStyle w:val="Zpa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F974F" w14:textId="77777777" w:rsidR="004C4A20" w:rsidRDefault="004C4A20">
      <w:pPr>
        <w:spacing w:after="0" w:line="240" w:lineRule="auto"/>
      </w:pPr>
      <w:r>
        <w:separator/>
      </w:r>
    </w:p>
  </w:footnote>
  <w:footnote w:type="continuationSeparator" w:id="0">
    <w:p w14:paraId="24451F11" w14:textId="77777777" w:rsidR="004C4A20" w:rsidRDefault="004C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8AD1" w14:textId="45D1BCFD" w:rsidR="00867F0F" w:rsidRDefault="00867F0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4C1812" wp14:editId="6D77CF00">
              <wp:simplePos x="0" y="0"/>
              <wp:positionH relativeFrom="leftMargin">
                <wp:posOffset>552450</wp:posOffset>
              </wp:positionH>
              <wp:positionV relativeFrom="margin">
                <wp:posOffset>0</wp:posOffset>
              </wp:positionV>
              <wp:extent cx="666750" cy="6886575"/>
              <wp:effectExtent l="0" t="0" r="0" b="0"/>
              <wp:wrapNone/>
              <wp:docPr id="2" name="Text Box 2" descr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6886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F85A0" w14:textId="4B26DBF8" w:rsidR="00867F0F" w:rsidRPr="001671E6" w:rsidRDefault="001671E6" w:rsidP="001671E6">
                          <w:pPr>
                            <w:pStyle w:val="Nzev"/>
                            <w:jc w:val="center"/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C2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85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8</w:t>
                          </w:r>
                          <w:r w:rsidR="00CC2058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Znehodnocování a pov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r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chové úpravy materiá</w:t>
                          </w:r>
                          <w:r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l</w:t>
                          </w:r>
                          <w:r w:rsidRPr="001671E6">
                            <w:rPr>
                              <w:outline/>
                              <w:color w:val="0070C0"/>
                              <w:sz w:val="32"/>
                              <w:szCs w:val="32"/>
                              <w:lang w:val="cs-CZ"/>
                              <w14:textOutline w14:w="9525" w14:cap="rnd" w14:cmpd="sng" w14:algn="ctr">
                                <w14:solidFill>
                                  <w14:srgbClr w14:val="0070C0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ů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54000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C1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ocument title" style="position:absolute;margin-left:43.5pt;margin-top:0;width:52.5pt;height:54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" filled="f" stroked="f" strokeweight=".5pt">
              <v:textbox style="layout-flow:vertical;mso-layout-flow-alt:bottom-to-top" inset="0,15mm,18pt">
                <w:txbxContent>
                  <w:p w14:paraId="793F85A0" w14:textId="4B26DBF8" w:rsidR="00867F0F" w:rsidRPr="001671E6" w:rsidRDefault="001671E6" w:rsidP="001671E6">
                    <w:pPr>
                      <w:pStyle w:val="Nzev"/>
                      <w:jc w:val="center"/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C2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85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8</w:t>
                    </w:r>
                    <w:r w:rsidR="00CC2058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 xml:space="preserve"> Znehodnocování a pov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r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chové úpravy materiá</w:t>
                    </w:r>
                    <w:r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l</w:t>
                    </w:r>
                    <w:r w:rsidRPr="001671E6">
                      <w:rPr>
                        <w:outline/>
                        <w:color w:val="0070C0"/>
                        <w:sz w:val="32"/>
                        <w:szCs w:val="32"/>
                        <w:lang w:val="cs-CZ"/>
                        <w14:textOutline w14:w="9525" w14:cap="rnd" w14:cmpd="sng" w14:algn="ctr">
                          <w14:solidFill>
                            <w14:srgbClr w14:val="0070C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D334B"/>
    <w:multiLevelType w:val="hybridMultilevel"/>
    <w:tmpl w:val="8E78FD00"/>
    <w:lvl w:ilvl="0" w:tplc="9D0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E41604">
      <w:numFmt w:val="none"/>
      <w:lvlText w:val=""/>
      <w:lvlJc w:val="left"/>
      <w:pPr>
        <w:tabs>
          <w:tab w:val="num" w:pos="360"/>
        </w:tabs>
      </w:pPr>
    </w:lvl>
    <w:lvl w:ilvl="2" w:tplc="10F83BF0">
      <w:numFmt w:val="none"/>
      <w:lvlText w:val=""/>
      <w:lvlJc w:val="left"/>
      <w:pPr>
        <w:tabs>
          <w:tab w:val="num" w:pos="360"/>
        </w:tabs>
      </w:pPr>
    </w:lvl>
    <w:lvl w:ilvl="3" w:tplc="F172273E">
      <w:numFmt w:val="none"/>
      <w:lvlText w:val=""/>
      <w:lvlJc w:val="left"/>
      <w:pPr>
        <w:tabs>
          <w:tab w:val="num" w:pos="360"/>
        </w:tabs>
      </w:pPr>
    </w:lvl>
    <w:lvl w:ilvl="4" w:tplc="DB06F38C">
      <w:numFmt w:val="none"/>
      <w:lvlText w:val=""/>
      <w:lvlJc w:val="left"/>
      <w:pPr>
        <w:tabs>
          <w:tab w:val="num" w:pos="360"/>
        </w:tabs>
      </w:pPr>
    </w:lvl>
    <w:lvl w:ilvl="5" w:tplc="CE26380E">
      <w:numFmt w:val="none"/>
      <w:lvlText w:val=""/>
      <w:lvlJc w:val="left"/>
      <w:pPr>
        <w:tabs>
          <w:tab w:val="num" w:pos="360"/>
        </w:tabs>
      </w:pPr>
    </w:lvl>
    <w:lvl w:ilvl="6" w:tplc="0218B93A">
      <w:numFmt w:val="none"/>
      <w:lvlText w:val=""/>
      <w:lvlJc w:val="left"/>
      <w:pPr>
        <w:tabs>
          <w:tab w:val="num" w:pos="360"/>
        </w:tabs>
      </w:pPr>
    </w:lvl>
    <w:lvl w:ilvl="7" w:tplc="8CBEB65A">
      <w:numFmt w:val="none"/>
      <w:lvlText w:val=""/>
      <w:lvlJc w:val="left"/>
      <w:pPr>
        <w:tabs>
          <w:tab w:val="num" w:pos="360"/>
        </w:tabs>
      </w:pPr>
    </w:lvl>
    <w:lvl w:ilvl="8" w:tplc="2C5E94A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5A3F1F"/>
    <w:multiLevelType w:val="hybridMultilevel"/>
    <w:tmpl w:val="70D89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D7D9F"/>
    <w:multiLevelType w:val="hybridMultilevel"/>
    <w:tmpl w:val="08F0533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92F54"/>
    <w:multiLevelType w:val="hybridMultilevel"/>
    <w:tmpl w:val="E0AE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65566"/>
    <w:multiLevelType w:val="hybridMultilevel"/>
    <w:tmpl w:val="012EADF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hyphenationZone w:val="397"/>
  <w:doNotHyphenateCaps/>
  <w:defaultTableStyle w:val="SOW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791"/>
    <w:rsid w:val="00022FEB"/>
    <w:rsid w:val="00026C75"/>
    <w:rsid w:val="00027C6A"/>
    <w:rsid w:val="000325CE"/>
    <w:rsid w:val="000370AC"/>
    <w:rsid w:val="0006006C"/>
    <w:rsid w:val="00076A83"/>
    <w:rsid w:val="0008612B"/>
    <w:rsid w:val="000C6B9E"/>
    <w:rsid w:val="000D6760"/>
    <w:rsid w:val="000E38FD"/>
    <w:rsid w:val="000E6292"/>
    <w:rsid w:val="000F09CE"/>
    <w:rsid w:val="00100B68"/>
    <w:rsid w:val="00104089"/>
    <w:rsid w:val="00106EBB"/>
    <w:rsid w:val="00114B06"/>
    <w:rsid w:val="00121B13"/>
    <w:rsid w:val="00123ABA"/>
    <w:rsid w:val="00144095"/>
    <w:rsid w:val="001464F7"/>
    <w:rsid w:val="00152C49"/>
    <w:rsid w:val="0015591D"/>
    <w:rsid w:val="00157034"/>
    <w:rsid w:val="0016577B"/>
    <w:rsid w:val="001671E6"/>
    <w:rsid w:val="001875DD"/>
    <w:rsid w:val="00191431"/>
    <w:rsid w:val="001A53EC"/>
    <w:rsid w:val="001B2311"/>
    <w:rsid w:val="001C15AC"/>
    <w:rsid w:val="001C7152"/>
    <w:rsid w:val="001D0DD2"/>
    <w:rsid w:val="001D13CB"/>
    <w:rsid w:val="001D21ED"/>
    <w:rsid w:val="001D4867"/>
    <w:rsid w:val="001E7970"/>
    <w:rsid w:val="001E7FED"/>
    <w:rsid w:val="0020334F"/>
    <w:rsid w:val="002135A7"/>
    <w:rsid w:val="00223616"/>
    <w:rsid w:val="00224BDD"/>
    <w:rsid w:val="00225E54"/>
    <w:rsid w:val="00242E32"/>
    <w:rsid w:val="0024768A"/>
    <w:rsid w:val="00251E52"/>
    <w:rsid w:val="002612A4"/>
    <w:rsid w:val="00286160"/>
    <w:rsid w:val="00296B73"/>
    <w:rsid w:val="002A2C16"/>
    <w:rsid w:val="002A3A9F"/>
    <w:rsid w:val="002B725E"/>
    <w:rsid w:val="002C1303"/>
    <w:rsid w:val="002E1C25"/>
    <w:rsid w:val="002E1F1A"/>
    <w:rsid w:val="00301F58"/>
    <w:rsid w:val="00316C94"/>
    <w:rsid w:val="00331C99"/>
    <w:rsid w:val="003326BF"/>
    <w:rsid w:val="003359EF"/>
    <w:rsid w:val="00352FDB"/>
    <w:rsid w:val="00356DCB"/>
    <w:rsid w:val="003605E0"/>
    <w:rsid w:val="003721D6"/>
    <w:rsid w:val="00373D7B"/>
    <w:rsid w:val="003746C5"/>
    <w:rsid w:val="0038456B"/>
    <w:rsid w:val="003A17FC"/>
    <w:rsid w:val="003B1A70"/>
    <w:rsid w:val="003B58BA"/>
    <w:rsid w:val="003B711F"/>
    <w:rsid w:val="003B7628"/>
    <w:rsid w:val="003C3F1D"/>
    <w:rsid w:val="003E2FA4"/>
    <w:rsid w:val="003E35CF"/>
    <w:rsid w:val="003F0C11"/>
    <w:rsid w:val="00403AFB"/>
    <w:rsid w:val="00417EEC"/>
    <w:rsid w:val="00426683"/>
    <w:rsid w:val="0043094E"/>
    <w:rsid w:val="00434568"/>
    <w:rsid w:val="004729B4"/>
    <w:rsid w:val="00477EB7"/>
    <w:rsid w:val="004925D5"/>
    <w:rsid w:val="004C4A20"/>
    <w:rsid w:val="004D4884"/>
    <w:rsid w:val="004F01F1"/>
    <w:rsid w:val="004F2778"/>
    <w:rsid w:val="004F327C"/>
    <w:rsid w:val="00502711"/>
    <w:rsid w:val="00550147"/>
    <w:rsid w:val="00552729"/>
    <w:rsid w:val="00553437"/>
    <w:rsid w:val="00553579"/>
    <w:rsid w:val="0057212E"/>
    <w:rsid w:val="00584CBD"/>
    <w:rsid w:val="00590F2E"/>
    <w:rsid w:val="005A1C78"/>
    <w:rsid w:val="005A3C4E"/>
    <w:rsid w:val="005A4319"/>
    <w:rsid w:val="005C0C6D"/>
    <w:rsid w:val="005C70CE"/>
    <w:rsid w:val="005D34AF"/>
    <w:rsid w:val="005E10D4"/>
    <w:rsid w:val="005F0198"/>
    <w:rsid w:val="00620791"/>
    <w:rsid w:val="006506C3"/>
    <w:rsid w:val="00666C0D"/>
    <w:rsid w:val="006714C1"/>
    <w:rsid w:val="00671635"/>
    <w:rsid w:val="00671B9C"/>
    <w:rsid w:val="00692E10"/>
    <w:rsid w:val="006C2871"/>
    <w:rsid w:val="006F6A73"/>
    <w:rsid w:val="00706487"/>
    <w:rsid w:val="00721E77"/>
    <w:rsid w:val="00725626"/>
    <w:rsid w:val="0073796F"/>
    <w:rsid w:val="00740BF7"/>
    <w:rsid w:val="00744494"/>
    <w:rsid w:val="00754123"/>
    <w:rsid w:val="00787D2D"/>
    <w:rsid w:val="007913E2"/>
    <w:rsid w:val="00792011"/>
    <w:rsid w:val="00793ADE"/>
    <w:rsid w:val="007C44AA"/>
    <w:rsid w:val="007E1356"/>
    <w:rsid w:val="007F15E9"/>
    <w:rsid w:val="007F67A8"/>
    <w:rsid w:val="0080657A"/>
    <w:rsid w:val="0080688B"/>
    <w:rsid w:val="00806CE3"/>
    <w:rsid w:val="008135DE"/>
    <w:rsid w:val="00815372"/>
    <w:rsid w:val="008155E2"/>
    <w:rsid w:val="00842C11"/>
    <w:rsid w:val="00844144"/>
    <w:rsid w:val="008552D7"/>
    <w:rsid w:val="00863373"/>
    <w:rsid w:val="00864E1E"/>
    <w:rsid w:val="00866EDD"/>
    <w:rsid w:val="00867F0F"/>
    <w:rsid w:val="00870304"/>
    <w:rsid w:val="00875133"/>
    <w:rsid w:val="00875A8C"/>
    <w:rsid w:val="00881C8C"/>
    <w:rsid w:val="00895826"/>
    <w:rsid w:val="008C599B"/>
    <w:rsid w:val="008F1950"/>
    <w:rsid w:val="00900CB0"/>
    <w:rsid w:val="009206B2"/>
    <w:rsid w:val="009237E5"/>
    <w:rsid w:val="0092556E"/>
    <w:rsid w:val="0095289B"/>
    <w:rsid w:val="009609FB"/>
    <w:rsid w:val="00973826"/>
    <w:rsid w:val="00984297"/>
    <w:rsid w:val="009860AD"/>
    <w:rsid w:val="00986C4E"/>
    <w:rsid w:val="009918AA"/>
    <w:rsid w:val="009A7A2C"/>
    <w:rsid w:val="009D778F"/>
    <w:rsid w:val="00A01FFA"/>
    <w:rsid w:val="00A06E23"/>
    <w:rsid w:val="00A12AEF"/>
    <w:rsid w:val="00A1541A"/>
    <w:rsid w:val="00A23ABA"/>
    <w:rsid w:val="00A54E6A"/>
    <w:rsid w:val="00A57402"/>
    <w:rsid w:val="00A67FBD"/>
    <w:rsid w:val="00A71A4D"/>
    <w:rsid w:val="00A8461C"/>
    <w:rsid w:val="00A9157E"/>
    <w:rsid w:val="00AA08F1"/>
    <w:rsid w:val="00AA1BBC"/>
    <w:rsid w:val="00AD67F1"/>
    <w:rsid w:val="00AF47DC"/>
    <w:rsid w:val="00B11999"/>
    <w:rsid w:val="00B14753"/>
    <w:rsid w:val="00B46175"/>
    <w:rsid w:val="00B474B3"/>
    <w:rsid w:val="00B47902"/>
    <w:rsid w:val="00B62A77"/>
    <w:rsid w:val="00B75E34"/>
    <w:rsid w:val="00B86BD9"/>
    <w:rsid w:val="00BA088B"/>
    <w:rsid w:val="00BA2DEE"/>
    <w:rsid w:val="00BB1AEC"/>
    <w:rsid w:val="00BB2EA6"/>
    <w:rsid w:val="00BC04E6"/>
    <w:rsid w:val="00BC6AA6"/>
    <w:rsid w:val="00BD0730"/>
    <w:rsid w:val="00BD18A1"/>
    <w:rsid w:val="00BD6480"/>
    <w:rsid w:val="00BE1752"/>
    <w:rsid w:val="00BF5E90"/>
    <w:rsid w:val="00C41C67"/>
    <w:rsid w:val="00CB392B"/>
    <w:rsid w:val="00CC2058"/>
    <w:rsid w:val="00CD36F7"/>
    <w:rsid w:val="00CD70B5"/>
    <w:rsid w:val="00CF0D32"/>
    <w:rsid w:val="00D01FFA"/>
    <w:rsid w:val="00D240E0"/>
    <w:rsid w:val="00D32754"/>
    <w:rsid w:val="00D700AE"/>
    <w:rsid w:val="00D71FD8"/>
    <w:rsid w:val="00D7556B"/>
    <w:rsid w:val="00D97205"/>
    <w:rsid w:val="00DC2E95"/>
    <w:rsid w:val="00DC3C7B"/>
    <w:rsid w:val="00DD019E"/>
    <w:rsid w:val="00DD329F"/>
    <w:rsid w:val="00DF181C"/>
    <w:rsid w:val="00E10051"/>
    <w:rsid w:val="00E11B94"/>
    <w:rsid w:val="00E11FB6"/>
    <w:rsid w:val="00E1761E"/>
    <w:rsid w:val="00E341DA"/>
    <w:rsid w:val="00E4610F"/>
    <w:rsid w:val="00E60615"/>
    <w:rsid w:val="00E615CA"/>
    <w:rsid w:val="00E840A8"/>
    <w:rsid w:val="00E94F35"/>
    <w:rsid w:val="00EC064A"/>
    <w:rsid w:val="00EC1998"/>
    <w:rsid w:val="00ED15A5"/>
    <w:rsid w:val="00ED15A8"/>
    <w:rsid w:val="00ED3248"/>
    <w:rsid w:val="00EE2398"/>
    <w:rsid w:val="00EE5217"/>
    <w:rsid w:val="00EE6C7B"/>
    <w:rsid w:val="00F04DEE"/>
    <w:rsid w:val="00F0626D"/>
    <w:rsid w:val="00F235AC"/>
    <w:rsid w:val="00F5066B"/>
    <w:rsid w:val="00F6593C"/>
    <w:rsid w:val="00F76D64"/>
    <w:rsid w:val="00F778BD"/>
    <w:rsid w:val="00F822F9"/>
    <w:rsid w:val="00F82ECF"/>
    <w:rsid w:val="00FA64C9"/>
    <w:rsid w:val="00FB19C1"/>
    <w:rsid w:val="00FB2B36"/>
    <w:rsid w:val="00FB3EEB"/>
    <w:rsid w:val="00FC2C8C"/>
    <w:rsid w:val="00FD5EEA"/>
    <w:rsid w:val="00FD73A6"/>
    <w:rsid w:val="00FE2A52"/>
    <w:rsid w:val="00FF2A60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C0BDEDB"/>
  <w15:docId w15:val="{DCACCA17-0886-4FCD-B772-1B5D0C8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ogo">
    <w:name w:val="Logo"/>
    <w:basedOn w:val="Normln"/>
    <w:uiPriority w:val="99"/>
    <w:semiHidden/>
    <w:unhideWhenUsed/>
    <w:pPr>
      <w:spacing w:before="600"/>
    </w:pPr>
  </w:style>
  <w:style w:type="character" w:styleId="Zstupntext">
    <w:name w:val="Placeholder Text"/>
    <w:basedOn w:val="Standardnpsmoodstavce"/>
    <w:uiPriority w:val="99"/>
    <w:semiHidden/>
    <w:rPr>
      <w:color w:val="F24F4F" w:themeColor="accent1"/>
    </w:r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Podnadpis">
    <w:name w:val="Subtitle"/>
    <w:basedOn w:val="Normln"/>
    <w:next w:val="Normln"/>
    <w:link w:val="Podnadpis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3"/>
    <w:rPr>
      <w:b/>
      <w:bCs/>
      <w:sz w:val="28"/>
      <w:szCs w:val="28"/>
    </w:rPr>
  </w:style>
  <w:style w:type="paragraph" w:styleId="Bezmezer">
    <w:name w:val="No Spacing"/>
    <w:uiPriority w:val="1"/>
    <w:qFormat/>
    <w:pPr>
      <w:spacing w:before="60" w:after="0" w:line="240" w:lineRule="auto"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Pr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Normlntabulka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ln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ln"/>
    <w:uiPriority w:val="99"/>
    <w:semiHidden/>
    <w:qFormat/>
    <w:pPr>
      <w:spacing w:before="160" w:after="160" w:line="240" w:lineRule="auto"/>
      <w:jc w:val="center"/>
    </w:p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Normlntabulka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Obsah3">
    <w:name w:val="toc 3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paragraph" w:styleId="Obsah4">
    <w:name w:val="toc 4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Normlntabulka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ln"/>
    <w:next w:val="Normln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ln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</w:style>
  <w:style w:type="character" w:styleId="Siln">
    <w:name w:val="Strong"/>
    <w:basedOn w:val="Standardnpsmoodstavce"/>
    <w:uiPriority w:val="10"/>
    <w:unhideWhenUsed/>
    <w:qFormat/>
    <w:rPr>
      <w:b/>
      <w:bCs/>
    </w:rPr>
  </w:style>
  <w:style w:type="paragraph" w:styleId="Zvr">
    <w:name w:val="Closing"/>
    <w:basedOn w:val="Normln"/>
    <w:link w:val="ZvrChar"/>
    <w:uiPriority w:val="11"/>
    <w:unhideWhenUsed/>
    <w:qFormat/>
    <w:pPr>
      <w:spacing w:before="720" w:after="0" w:line="240" w:lineRule="auto"/>
    </w:pPr>
  </w:style>
  <w:style w:type="character" w:customStyle="1" w:styleId="ZvrChar">
    <w:name w:val="Závěr Char"/>
    <w:basedOn w:val="Standardnpsmoodstavce"/>
    <w:link w:val="Zvr"/>
    <w:uiPriority w:val="11"/>
  </w:style>
  <w:style w:type="table" w:customStyle="1" w:styleId="SignatureTable">
    <w:name w:val="Signature Table"/>
    <w:basedOn w:val="Normlntabulka"/>
    <w:uiPriority w:val="99"/>
    <w:pPr>
      <w:spacing w:after="0" w:line="240" w:lineRule="auto"/>
    </w:pPr>
    <w:tblPr/>
  </w:style>
  <w:style w:type="paragraph" w:styleId="Seznamsodrkami">
    <w:name w:val="List Bullet"/>
    <w:basedOn w:val="Normln"/>
    <w:uiPriority w:val="4"/>
    <w:unhideWhenUsed/>
    <w:qFormat/>
    <w:pPr>
      <w:numPr>
        <w:numId w:val="4"/>
      </w:numPr>
      <w:contextualSpacing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Pr>
      <w:i/>
      <w:i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DEE"/>
    <w:rPr>
      <w:rFonts w:ascii="Tahoma" w:hAnsi="Tahoma" w:cs="Tahoma"/>
      <w:sz w:val="16"/>
      <w:szCs w:val="16"/>
    </w:rPr>
  </w:style>
  <w:style w:type="table" w:customStyle="1" w:styleId="ProjectScopeTable">
    <w:name w:val="Project Scope Table"/>
    <w:basedOn w:val="Normlntabulka"/>
    <w:uiPriority w:val="99"/>
    <w:rsid w:val="00EE6C7B"/>
    <w:pPr>
      <w:spacing w:before="120" w:after="120" w:line="240" w:lineRule="auto"/>
    </w:pPr>
    <w:rPr>
      <w:rFonts w:eastAsiaTheme="minorHAnsi"/>
      <w:color w:val="404040" w:themeColor="text1" w:themeTint="BF"/>
      <w:sz w:val="18"/>
      <w:lang w:val="cs-CZ" w:eastAsia="en-US"/>
    </w:rPr>
    <w:tblPr>
      <w:tblBorders>
        <w:top w:val="single" w:sz="4" w:space="0" w:color="F24F4F" w:themeColor="accent1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  <w:insideH w:val="single" w:sz="4" w:space="0" w:color="F24F4F" w:themeColor="accent1"/>
        <w:insideV w:val="single" w:sz="4" w:space="0" w:color="F24F4F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CDBDB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24F4F" w:themeFill="accent1"/>
      </w:tcPr>
    </w:tblStylePr>
  </w:style>
  <w:style w:type="paragraph" w:styleId="Normlnweb">
    <w:name w:val="Normal (Web)"/>
    <w:basedOn w:val="Normln"/>
    <w:uiPriority w:val="99"/>
    <w:semiHidden/>
    <w:unhideWhenUsed/>
    <w:rsid w:val="00E1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table" w:styleId="Stednseznam2zvraznn1">
    <w:name w:val="Medium List 2 Accent 1"/>
    <w:basedOn w:val="Normlntabulka"/>
    <w:uiPriority w:val="66"/>
    <w:rsid w:val="009A7A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cs-CZ" w:eastAsia="cs-CZ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4F4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1709</Characters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2019-02-10T10:58:00Z</cp:lastPrinted>
  <dcterms:created xsi:type="dcterms:W3CDTF">2019-03-17T10:01:00Z</dcterms:created>
  <dcterms:modified xsi:type="dcterms:W3CDTF">2019-03-17T10:01:00Z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2018-05-22T06:23:44.5898143Z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