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496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289"/>
        <w:gridCol w:w="3311"/>
      </w:tblGrid>
      <w:tr w:rsidR="00584CBD" w:rsidRPr="00BC4805" w14:paraId="4C0BDEDE" w14:textId="77777777" w:rsidTr="00867F0F">
        <w:trPr>
          <w:trHeight w:val="990"/>
        </w:trPr>
        <w:tc>
          <w:tcPr>
            <w:tcW w:w="5500" w:type="dxa"/>
            <w:tcBorders>
              <w:bottom w:val="single" w:sz="4" w:space="0" w:color="0070C0"/>
            </w:tcBorders>
            <w:vAlign w:val="bottom"/>
          </w:tcPr>
          <w:p w14:paraId="283B5AAB" w14:textId="5B0AB696" w:rsidR="00584CBD" w:rsidRPr="00553579" w:rsidRDefault="00584CBD" w:rsidP="00584CBD">
            <w:pPr>
              <w:pStyle w:val="Bezmezer"/>
              <w:ind w:left="0" w:right="142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 Masarykova univerzita v Brně</w:t>
            </w:r>
          </w:p>
          <w:p w14:paraId="459AD3E3" w14:textId="08120A3F" w:rsidR="00584CBD" w:rsidRPr="00553579" w:rsidRDefault="00584CBD" w:rsidP="00584CBD">
            <w:pPr>
              <w:pStyle w:val="Bezmezer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lang w:val="cs-CZ"/>
              </w:rPr>
              <w:t>Přírodovědecká fakulta</w:t>
            </w:r>
            <w:r w:rsidRPr="00553579">
              <w:rPr>
                <w:rFonts w:ascii="Cambria" w:hAnsi="Cambria"/>
                <w:lang w:val="cs-CZ"/>
              </w:rPr>
              <w:br/>
              <w:t xml:space="preserve">Ústav chemie – Chemie konzervování a restaurování  </w:t>
            </w:r>
          </w:p>
        </w:tc>
        <w:tc>
          <w:tcPr>
            <w:tcW w:w="3431" w:type="dxa"/>
            <w:tcBorders>
              <w:bottom w:val="single" w:sz="4" w:space="0" w:color="0070C0"/>
            </w:tcBorders>
            <w:shd w:val="clear" w:color="auto" w:fill="auto"/>
            <w:vAlign w:val="bottom"/>
          </w:tcPr>
          <w:p w14:paraId="20BD440A" w14:textId="3190048C" w:rsidR="00BA088B" w:rsidRPr="00553579" w:rsidRDefault="00076A83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Pr</w:t>
            </w:r>
            <w:r w:rsidR="00BA088B" w:rsidRPr="00553579">
              <w:rPr>
                <w:rFonts w:ascii="Cambria" w:hAnsi="Cambria"/>
                <w:i/>
                <w:lang w:val="cs-CZ"/>
              </w:rPr>
              <w:t xml:space="preserve">aktické cvičení: </w:t>
            </w:r>
            <w:r w:rsidR="00BA088B" w:rsidRPr="00553579">
              <w:rPr>
                <w:rFonts w:ascii="Cambria" w:hAnsi="Cambria"/>
                <w:i/>
                <w:sz w:val="28"/>
                <w:szCs w:val="28"/>
                <w:lang w:val="cs-CZ"/>
              </w:rPr>
              <w:t>1</w:t>
            </w:r>
            <w:r w:rsidR="007209A0">
              <w:rPr>
                <w:rFonts w:ascii="Cambria" w:hAnsi="Cambria"/>
                <w:i/>
                <w:sz w:val="28"/>
                <w:szCs w:val="28"/>
                <w:lang w:val="cs-CZ"/>
              </w:rPr>
              <w:t>1</w:t>
            </w:r>
          </w:p>
          <w:p w14:paraId="024DF853" w14:textId="22A53E7B" w:rsidR="00584CBD" w:rsidRPr="00553579" w:rsidRDefault="00A9157E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Datum:</w:t>
            </w:r>
          </w:p>
          <w:p w14:paraId="4C0BDEDD" w14:textId="0BABC2B6" w:rsidR="00584CBD" w:rsidRPr="00553579" w:rsidRDefault="00584CBD" w:rsidP="00584CBD">
            <w:pPr>
              <w:pStyle w:val="Bezmezer"/>
              <w:ind w:left="0" w:right="0"/>
              <w:rPr>
                <w:rFonts w:ascii="Cambria" w:hAnsi="Cambria"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 xml:space="preserve"> </w:t>
            </w:r>
            <w:r w:rsidR="00A9157E" w:rsidRPr="00553579">
              <w:rPr>
                <w:rFonts w:ascii="Cambria" w:hAnsi="Cambria"/>
                <w:i/>
                <w:lang w:val="cs-CZ"/>
              </w:rPr>
              <w:t xml:space="preserve">  Posluchač</w:t>
            </w:r>
            <w:r w:rsidR="00DD019E" w:rsidRPr="00553579">
              <w:rPr>
                <w:rFonts w:ascii="Cambria" w:hAnsi="Cambria"/>
                <w:i/>
                <w:lang w:val="cs-CZ"/>
              </w:rPr>
              <w:t>(ka)</w:t>
            </w:r>
            <w:r w:rsidR="00A9157E" w:rsidRPr="00553579">
              <w:rPr>
                <w:rFonts w:ascii="Cambria" w:hAnsi="Cambria"/>
                <w:i/>
                <w:lang w:val="cs-CZ"/>
              </w:rPr>
              <w:t>:</w:t>
            </w:r>
          </w:p>
        </w:tc>
      </w:tr>
    </w:tbl>
    <w:p w14:paraId="4F9B76C0" w14:textId="5D94460B" w:rsidR="008552D7" w:rsidRPr="00553579" w:rsidRDefault="00A06E23" w:rsidP="008552D7">
      <w:pPr>
        <w:pStyle w:val="Podnadpis"/>
        <w:spacing w:before="240" w:after="120"/>
        <w:rPr>
          <w:rFonts w:ascii="Cambria" w:hAnsi="Cambria" w:cs="Segoe UI"/>
          <w:color w:val="0070C0"/>
          <w:sz w:val="32"/>
          <w:szCs w:val="32"/>
          <w:lang w:val="cs-CZ"/>
        </w:rPr>
      </w:pPr>
      <w:r w:rsidRPr="00553579">
        <w:rPr>
          <w:rFonts w:ascii="Cambria" w:hAnsi="Cambria" w:cs="Segoe UI"/>
          <w:color w:val="0070C0"/>
          <w:sz w:val="24"/>
          <w:szCs w:val="24"/>
          <w:lang w:val="cs-CZ"/>
        </w:rPr>
        <w:t>Téma pr</w:t>
      </w:r>
      <w:r w:rsidR="00584CBD" w:rsidRPr="00553579">
        <w:rPr>
          <w:rFonts w:ascii="Cambria" w:hAnsi="Cambria" w:cs="Segoe UI"/>
          <w:color w:val="0070C0"/>
          <w:sz w:val="24"/>
          <w:szCs w:val="24"/>
          <w:lang w:val="cs-CZ"/>
        </w:rPr>
        <w:t>aktického cvičení</w:t>
      </w:r>
      <w:r w:rsidR="008552D7" w:rsidRPr="00553579">
        <w:rPr>
          <w:rFonts w:ascii="Cambria" w:hAnsi="Cambria" w:cs="Segoe UI"/>
          <w:color w:val="0070C0"/>
          <w:sz w:val="24"/>
          <w:szCs w:val="24"/>
          <w:lang w:val="cs-CZ"/>
        </w:rPr>
        <w:t xml:space="preserve">: </w:t>
      </w:r>
    </w:p>
    <w:p w14:paraId="4C0BDEDF" w14:textId="1C8E7BB9" w:rsidR="00620791" w:rsidRPr="00553579" w:rsidRDefault="007209A0" w:rsidP="00BC4805">
      <w:pPr>
        <w:pStyle w:val="Podnadpis"/>
        <w:spacing w:before="120" w:after="240"/>
        <w:rPr>
          <w:rFonts w:ascii="Cambria" w:hAnsi="Cambria" w:cs="Segoe UI"/>
          <w:sz w:val="22"/>
          <w:szCs w:val="22"/>
          <w:lang w:val="cs-CZ"/>
        </w:rPr>
      </w:pPr>
      <w:r>
        <w:rPr>
          <w:rFonts w:ascii="Cambria" w:hAnsi="Cambria" w:cs="Segoe UI"/>
          <w:sz w:val="22"/>
          <w:szCs w:val="22"/>
          <w:lang w:val="cs-CZ"/>
        </w:rPr>
        <w:t>HODNOCENÍ ZASYCHÁNÍ ZKUŠEBNÍCH NÁTĚRŮ LAKŮ A BAREV</w:t>
      </w:r>
      <w:bookmarkStart w:id="0" w:name="_GoBack"/>
      <w:bookmarkEnd w:id="0"/>
    </w:p>
    <w:tbl>
      <w:tblPr>
        <w:tblStyle w:val="TipTable"/>
        <w:tblW w:w="5014" w:type="pct"/>
        <w:shd w:val="clear" w:color="auto" w:fill="FFFFFF" w:themeFill="background1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683"/>
        <w:gridCol w:w="8003"/>
      </w:tblGrid>
      <w:tr w:rsidR="00620791" w:rsidRPr="00BC4805" w14:paraId="4C0BDEEE" w14:textId="77777777" w:rsidTr="007C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shd w:val="clear" w:color="auto" w:fill="FFFFFF" w:themeFill="background1"/>
          </w:tcPr>
          <w:p w14:paraId="4C0BDEEA" w14:textId="733FE7B3" w:rsidR="00620791" w:rsidRPr="00584CBD" w:rsidRDefault="00620791">
            <w:pPr>
              <w:pStyle w:val="Icon"/>
              <w:rPr>
                <w:rFonts w:ascii="Segoe UI" w:hAnsi="Segoe UI" w:cs="Segoe UI"/>
                <w:u w:val="double"/>
                <w:lang w:val="cs-CZ"/>
              </w:rPr>
            </w:pPr>
          </w:p>
        </w:tc>
        <w:tc>
          <w:tcPr>
            <w:tcW w:w="4607" w:type="pct"/>
            <w:shd w:val="clear" w:color="auto" w:fill="FFFFFF" w:themeFill="background1"/>
          </w:tcPr>
          <w:p w14:paraId="7BB270B1" w14:textId="33AB4A7A" w:rsidR="007C44AA" w:rsidRPr="00584CBD" w:rsidRDefault="00863373" w:rsidP="007C44A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</w:pPr>
            <w:r w:rsidRPr="00584CBD"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  <w:t>SOUHRN</w:t>
            </w:r>
          </w:p>
          <w:p w14:paraId="2CE87D1C" w14:textId="77777777" w:rsidR="007209A0" w:rsidRDefault="007209A0" w:rsidP="007209A0">
            <w:pPr>
              <w:pStyle w:val="Zhlav"/>
              <w:spacing w:before="60" w:after="120"/>
              <w:ind w:left="171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>
              <w:rPr>
                <w:rFonts w:ascii="Cambria" w:hAnsi="Cambria" w:cs="Arial"/>
                <w:noProof/>
                <w:lang w:val="cs-CZ"/>
              </w:rPr>
              <w:t xml:space="preserve">   Hodnocení zasychání</w:t>
            </w:r>
            <w:r w:rsidRPr="007209A0">
              <w:rPr>
                <w:rFonts w:ascii="Cambria" w:hAnsi="Cambria" w:cs="Arial"/>
                <w:noProof/>
                <w:lang w:val="cs-CZ"/>
              </w:rPr>
              <w:t xml:space="preserve"> nátěru je jednou ze základních experimentálních technik nezbytných pro hodnocení souhrnné jakosti nátěrového systému. </w:t>
            </w:r>
            <w:r>
              <w:rPr>
                <w:rFonts w:ascii="Cambria" w:hAnsi="Cambria" w:cs="Arial"/>
                <w:noProof/>
                <w:lang w:val="cs-CZ"/>
              </w:rPr>
              <w:t xml:space="preserve">Vedle kvalitativního hodnocení zasychání prstem se hodnocení zasychání provádí kvantitativně lykopódiem a cigaretovým papírkem. </w:t>
            </w:r>
          </w:p>
          <w:p w14:paraId="4C0BDEED" w14:textId="633A9C50" w:rsidR="00867F0F" w:rsidRPr="00BC4805" w:rsidRDefault="007209A0" w:rsidP="00BC4805">
            <w:pPr>
              <w:pStyle w:val="Zhlav"/>
              <w:spacing w:before="60" w:after="120"/>
              <w:ind w:left="171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>
              <w:rPr>
                <w:rFonts w:ascii="Cambria" w:hAnsi="Cambria" w:cs="Arial"/>
                <w:noProof/>
                <w:lang w:val="cs-CZ"/>
              </w:rPr>
              <w:t xml:space="preserve">   V rámci praktického cvičení se zasychání hodnotí </w:t>
            </w:r>
            <w:r w:rsidRPr="007209A0">
              <w:rPr>
                <w:rFonts w:ascii="Cambria" w:hAnsi="Cambria" w:cs="Arial"/>
                <w:noProof/>
                <w:lang w:val="cs-CZ"/>
              </w:rPr>
              <w:t>na broušeném skle</w:t>
            </w:r>
            <w:r>
              <w:rPr>
                <w:rFonts w:ascii="Cambria" w:hAnsi="Cambria" w:cs="Arial"/>
                <w:noProof/>
                <w:lang w:val="cs-CZ"/>
              </w:rPr>
              <w:t xml:space="preserve"> </w:t>
            </w:r>
            <w:r w:rsidRPr="007209A0">
              <w:rPr>
                <w:rFonts w:ascii="Cambria" w:hAnsi="Cambria" w:cs="Arial"/>
                <w:noProof/>
                <w:lang w:val="cs-CZ"/>
              </w:rPr>
              <w:t xml:space="preserve">nebo na křídovém papíru za laboratorních podmínek.   </w:t>
            </w:r>
          </w:p>
        </w:tc>
      </w:tr>
    </w:tbl>
    <w:p w14:paraId="52385237" w14:textId="4BCDEC52" w:rsidR="005D34AF" w:rsidRPr="006F6A73" w:rsidRDefault="00AA08F1" w:rsidP="00BC4805">
      <w:pPr>
        <w:pStyle w:val="Nadpis1"/>
        <w:pBdr>
          <w:bottom w:val="none" w:sz="0" w:space="0" w:color="auto"/>
        </w:pBdr>
        <w:spacing w:before="120" w:after="0"/>
        <w:rPr>
          <w:rFonts w:ascii="Cambria" w:hAnsi="Cambria" w:cs="Segoe UI"/>
          <w:b/>
          <w:color w:val="0070C0"/>
          <w:sz w:val="20"/>
          <w:szCs w:val="20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6B40BBF0" wp14:editId="2D76E4F8">
            <wp:extent cx="336550" cy="336550"/>
            <wp:effectExtent l="0" t="0" r="6350" b="6350"/>
            <wp:docPr id="9" name="Obrázek 9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A73">
        <w:rPr>
          <w:rFonts w:ascii="Cambria" w:hAnsi="Cambria" w:cs="Segoe UI"/>
          <w:color w:val="0070C0"/>
          <w:sz w:val="20"/>
          <w:szCs w:val="20"/>
          <w:lang w:val="cs-CZ"/>
        </w:rPr>
        <w:t xml:space="preserve">  </w:t>
      </w:r>
      <w:r w:rsidR="00867F0F">
        <w:rPr>
          <w:rFonts w:ascii="Cambria" w:hAnsi="Cambria" w:cs="Segoe UI"/>
          <w:b/>
          <w:color w:val="0070C0"/>
          <w:sz w:val="20"/>
          <w:szCs w:val="20"/>
          <w:lang w:val="cs-CZ"/>
        </w:rPr>
        <w:t>Experimentální část</w:t>
      </w:r>
    </w:p>
    <w:p w14:paraId="26906A10" w14:textId="24BAC5DA" w:rsidR="00BB2EA6" w:rsidRPr="00863373" w:rsidRDefault="00373456" w:rsidP="003E2FA4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rFonts w:ascii="Cambria" w:hAnsi="Cambria"/>
          <w:b/>
          <w:color w:val="0070C0"/>
        </w:rPr>
        <w:pict w14:anchorId="1AC578DF">
          <v:rect id="_x0000_i1025" style="width:450pt;height:.5pt" o:hrstd="t" o:hrnoshade="t" o:hr="t" fillcolor="#0070c0" stroked="f"/>
        </w:pict>
      </w:r>
    </w:p>
    <w:p w14:paraId="4BEDA8A2" w14:textId="0F5A12BF" w:rsidR="00867F0F" w:rsidRPr="00553579" w:rsidRDefault="00867F0F" w:rsidP="00DD019E">
      <w:pPr>
        <w:pStyle w:val="Zhlav"/>
        <w:spacing w:before="120" w:line="276" w:lineRule="auto"/>
        <w:jc w:val="both"/>
        <w:rPr>
          <w:rFonts w:ascii="Cambria" w:hAnsi="Cambria" w:cs="Arial"/>
          <w:b/>
          <w:noProof/>
          <w:sz w:val="18"/>
          <w:szCs w:val="18"/>
        </w:rPr>
      </w:pPr>
      <w:r w:rsidRPr="00553579">
        <w:rPr>
          <w:rFonts w:ascii="Cambria" w:hAnsi="Cambria" w:cs="Arial"/>
          <w:b/>
          <w:i/>
          <w:noProof/>
          <w:sz w:val="18"/>
          <w:szCs w:val="18"/>
        </w:rPr>
        <w:t>Hodno</w:t>
      </w:r>
      <w:r w:rsidR="00BA2216">
        <w:rPr>
          <w:rFonts w:ascii="Cambria" w:hAnsi="Cambria" w:cs="Arial"/>
          <w:b/>
          <w:i/>
          <w:noProof/>
          <w:sz w:val="18"/>
          <w:szCs w:val="18"/>
        </w:rPr>
        <w:t>cení zasychání</w:t>
      </w:r>
      <w:r w:rsidRPr="00553579">
        <w:rPr>
          <w:rFonts w:ascii="Cambria" w:hAnsi="Cambria" w:cs="Arial"/>
          <w:b/>
          <w:noProof/>
          <w:sz w:val="18"/>
          <w:szCs w:val="18"/>
        </w:rPr>
        <w:t xml:space="preserve"> </w:t>
      </w:r>
    </w:p>
    <w:p w14:paraId="0C126913" w14:textId="3B431676" w:rsidR="007209A0" w:rsidRDefault="007209A0" w:rsidP="00BA2216">
      <w:pPr>
        <w:pStyle w:val="Zhlav"/>
        <w:tabs>
          <w:tab w:val="num" w:pos="600"/>
        </w:tabs>
        <w:spacing w:before="60" w:after="60"/>
        <w:ind w:firstLine="142"/>
        <w:jc w:val="both"/>
        <w:rPr>
          <w:rFonts w:ascii="Cambria" w:hAnsi="Cambria" w:cs="Arial"/>
          <w:noProof/>
          <w:sz w:val="18"/>
          <w:szCs w:val="18"/>
          <w:lang w:val="cs-CZ"/>
        </w:rPr>
      </w:pPr>
      <w:r w:rsidRPr="007209A0">
        <w:rPr>
          <w:rFonts w:ascii="Cambria" w:eastAsia="MS Mincho" w:hAnsi="Cambria" w:cs="Arial"/>
          <w:sz w:val="18"/>
          <w:szCs w:val="18"/>
          <w:lang w:val="cs-CZ"/>
        </w:rPr>
        <w:t>Postup stanovení vychází</w:t>
      </w:r>
      <w:r w:rsidRPr="00300B80">
        <w:rPr>
          <w:rFonts w:ascii="Cambria" w:eastAsia="MS Mincho" w:hAnsi="Cambria" w:cs="Arial"/>
          <w:sz w:val="18"/>
          <w:szCs w:val="18"/>
        </w:rPr>
        <w:t xml:space="preserve"> z</w:t>
      </w:r>
      <w:r>
        <w:rPr>
          <w:rFonts w:ascii="Cambria" w:eastAsia="MS Mincho" w:hAnsi="Cambria" w:cs="Arial"/>
          <w:sz w:val="18"/>
          <w:szCs w:val="18"/>
        </w:rPr>
        <w:t> </w:t>
      </w:r>
      <w:r>
        <w:rPr>
          <w:rFonts w:ascii="Cambria" w:eastAsia="MS Mincho" w:hAnsi="Cambria" w:cs="Arial"/>
          <w:sz w:val="18"/>
          <w:szCs w:val="18"/>
          <w:lang w:val="cs-CZ"/>
        </w:rPr>
        <w:t xml:space="preserve">modifikované metodiky, uvedené v publikaci Málek, M. </w:t>
      </w:r>
      <w:r w:rsidRPr="007A3149">
        <w:rPr>
          <w:rFonts w:ascii="Cambria" w:eastAsia="MS Mincho" w:hAnsi="Cambria" w:cs="Arial"/>
          <w:sz w:val="18"/>
          <w:szCs w:val="18"/>
          <w:lang w:val="cs-CZ"/>
        </w:rPr>
        <w:t>– Trnka, J.: Zkoušení nátěrových hmot a nátěrů</w:t>
      </w:r>
      <w:r w:rsidR="00BC4805">
        <w:rPr>
          <w:rFonts w:ascii="Cambria" w:eastAsia="MS Mincho" w:hAnsi="Cambria" w:cs="Arial"/>
          <w:sz w:val="18"/>
          <w:szCs w:val="18"/>
          <w:lang w:val="cs-CZ"/>
        </w:rPr>
        <w:t xml:space="preserve">, </w:t>
      </w:r>
      <w:r w:rsidR="00BC4805">
        <w:rPr>
          <w:rFonts w:ascii="Cambria" w:hAnsi="Cambria" w:cs="Arial"/>
          <w:noProof/>
          <w:sz w:val="18"/>
          <w:szCs w:val="18"/>
          <w:lang w:val="cs-CZ"/>
        </w:rPr>
        <w:t>Praha, SNTL, 1959, s. 104</w:t>
      </w:r>
      <w:r w:rsidRPr="007A3149">
        <w:rPr>
          <w:rFonts w:ascii="Cambria" w:eastAsia="MS Mincho" w:hAnsi="Cambria" w:cs="Arial"/>
          <w:sz w:val="18"/>
          <w:szCs w:val="18"/>
          <w:lang w:val="cs-CZ"/>
        </w:rPr>
        <w:t>. U l</w:t>
      </w:r>
      <w:r>
        <w:rPr>
          <w:rFonts w:ascii="Cambria" w:hAnsi="Cambria" w:cs="Arial"/>
          <w:noProof/>
          <w:sz w:val="18"/>
          <w:szCs w:val="18"/>
          <w:lang w:val="cs-CZ"/>
        </w:rPr>
        <w:t xml:space="preserve">aku/barvy </w:t>
      </w:r>
      <w:r w:rsidRPr="007209A0">
        <w:rPr>
          <w:rFonts w:ascii="Cambria" w:hAnsi="Cambria" w:cs="Arial"/>
          <w:noProof/>
          <w:sz w:val="18"/>
          <w:szCs w:val="18"/>
          <w:lang w:val="cs-CZ"/>
        </w:rPr>
        <w:t>s</w:t>
      </w:r>
      <w:r>
        <w:rPr>
          <w:rFonts w:ascii="Cambria" w:hAnsi="Cambria" w:cs="Arial"/>
          <w:noProof/>
          <w:sz w:val="18"/>
          <w:szCs w:val="18"/>
          <w:lang w:val="cs-CZ"/>
        </w:rPr>
        <w:t xml:space="preserve">e hodnotí zasychání do dvou základních stadií: stadium A – nátěr zaschlý proti prachu a stadium B2 – nelepivý nátěr při zatížení 200 g. </w:t>
      </w:r>
    </w:p>
    <w:p w14:paraId="2C598A7F" w14:textId="72B92BCD" w:rsidR="00A9157E" w:rsidRPr="00BA2216" w:rsidRDefault="00A9157E" w:rsidP="00BC4805">
      <w:pPr>
        <w:pStyle w:val="Nadpis1"/>
        <w:pBdr>
          <w:bottom w:val="none" w:sz="0" w:space="0" w:color="auto"/>
        </w:pBdr>
        <w:spacing w:before="120" w:after="0"/>
        <w:rPr>
          <w:rFonts w:ascii="Segoe UI" w:hAnsi="Segoe UI" w:cs="Segoe UI"/>
          <w:sz w:val="24"/>
          <w:szCs w:val="24"/>
          <w:lang w:val="cs-CZ"/>
        </w:rPr>
      </w:pPr>
      <w:bookmarkStart w:id="1" w:name="_Hlk536213540"/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220C9BAE" wp14:editId="58BD298B">
            <wp:extent cx="336550" cy="336550"/>
            <wp:effectExtent l="0" t="0" r="6350" b="6350"/>
            <wp:docPr id="8" name="Obrázek 8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Segoe UI"/>
          <w:color w:val="0070C0"/>
          <w:sz w:val="20"/>
          <w:szCs w:val="20"/>
          <w:lang w:val="cs-CZ"/>
        </w:rPr>
        <w:t xml:space="preserve">  </w:t>
      </w:r>
      <w:r w:rsidR="00BA2216">
        <w:rPr>
          <w:rFonts w:ascii="Cambria" w:hAnsi="Cambria" w:cs="Segoe UI"/>
          <w:b/>
          <w:color w:val="0070C0"/>
          <w:sz w:val="20"/>
          <w:szCs w:val="20"/>
          <w:lang w:val="cs-CZ"/>
        </w:rPr>
        <w:t>Hodnocení zasychání lykopódiem a cigaretovým papírkem</w:t>
      </w:r>
    </w:p>
    <w:p w14:paraId="0222FA8A" w14:textId="0B7A050E" w:rsidR="00A9157E" w:rsidRPr="00BA2216" w:rsidRDefault="00BA2216" w:rsidP="00DD019E">
      <w:pPr>
        <w:pStyle w:val="Zhlav"/>
        <w:spacing w:before="120" w:line="276" w:lineRule="auto"/>
        <w:jc w:val="both"/>
        <w:rPr>
          <w:rFonts w:ascii="Cambria" w:hAnsi="Cambria" w:cs="Arial"/>
          <w:b/>
          <w:noProof/>
          <w:sz w:val="18"/>
          <w:szCs w:val="18"/>
          <w:lang w:val="cs-CZ"/>
        </w:rPr>
      </w:pPr>
      <w:r w:rsidRPr="00BA2216">
        <w:rPr>
          <w:rFonts w:ascii="Cambria" w:hAnsi="Cambria" w:cs="Arial"/>
          <w:b/>
          <w:i/>
          <w:noProof/>
          <w:sz w:val="18"/>
          <w:szCs w:val="18"/>
          <w:lang w:val="cs-CZ"/>
        </w:rPr>
        <w:t>Zjišťování stadia A – nátěr zas</w:t>
      </w:r>
      <w:r>
        <w:rPr>
          <w:rFonts w:ascii="Cambria" w:hAnsi="Cambria" w:cs="Arial"/>
          <w:b/>
          <w:i/>
          <w:noProof/>
          <w:sz w:val="18"/>
          <w:szCs w:val="18"/>
          <w:lang w:val="cs-CZ"/>
        </w:rPr>
        <w:t>chlý proti prachu</w:t>
      </w:r>
    </w:p>
    <w:p w14:paraId="76F5BBB6" w14:textId="669CB0B6" w:rsidR="00BA2216" w:rsidRDefault="00BA2216" w:rsidP="00BA2216">
      <w:pPr>
        <w:pStyle w:val="Zhlav"/>
        <w:spacing w:before="60" w:after="60"/>
        <w:jc w:val="both"/>
        <w:rPr>
          <w:rFonts w:ascii="Cambria" w:hAnsi="Cambria" w:cs="Arial"/>
          <w:noProof/>
          <w:sz w:val="18"/>
          <w:szCs w:val="18"/>
          <w:lang w:val="cs-CZ"/>
        </w:rPr>
      </w:pPr>
      <w:r>
        <w:rPr>
          <w:rFonts w:ascii="Cambria" w:hAnsi="Cambria" w:cs="Arial"/>
          <w:noProof/>
          <w:sz w:val="18"/>
          <w:szCs w:val="18"/>
          <w:lang w:val="cs-CZ"/>
        </w:rPr>
        <w:t xml:space="preserve">    Zkušební nátěr se zakryje ochrannou maskou s otvorem 20 x 20 mm. Pak se otvor posype lykopódiem a maska odstraní. V časových intervalech 1 hodina – 2 hodiny – 3 hodiny – 5 hodin se posyp lykopódiem opakuje. Posypy se nechají na zasychajícím filmu další hodinu a poprašek lykopódiem opatrně setře jemným štětcem. Určuje se proužek, kde nátěr není porušený, bez přilepeného prášku. </w:t>
      </w:r>
    </w:p>
    <w:p w14:paraId="2AA18795" w14:textId="250851FD" w:rsidR="00BA2216" w:rsidRPr="00BA2216" w:rsidRDefault="00BA2216" w:rsidP="00BA2216">
      <w:pPr>
        <w:pStyle w:val="Zhlav"/>
        <w:spacing w:before="120" w:line="276" w:lineRule="auto"/>
        <w:jc w:val="both"/>
        <w:rPr>
          <w:rFonts w:ascii="Cambria" w:hAnsi="Cambria" w:cs="Arial"/>
          <w:b/>
          <w:noProof/>
          <w:sz w:val="18"/>
          <w:szCs w:val="18"/>
          <w:lang w:val="cs-CZ"/>
        </w:rPr>
      </w:pPr>
      <w:r w:rsidRPr="00BA2216">
        <w:rPr>
          <w:rFonts w:ascii="Cambria" w:hAnsi="Cambria" w:cs="Arial"/>
          <w:b/>
          <w:i/>
          <w:noProof/>
          <w:sz w:val="18"/>
          <w:szCs w:val="18"/>
          <w:lang w:val="cs-CZ"/>
        </w:rPr>
        <w:t xml:space="preserve">Zjišťování stadia </w:t>
      </w:r>
      <w:r>
        <w:rPr>
          <w:rFonts w:ascii="Cambria" w:hAnsi="Cambria" w:cs="Arial"/>
          <w:b/>
          <w:i/>
          <w:noProof/>
          <w:sz w:val="18"/>
          <w:szCs w:val="18"/>
          <w:lang w:val="cs-CZ"/>
        </w:rPr>
        <w:t>B</w:t>
      </w:r>
      <w:r w:rsidRPr="00BA2216">
        <w:rPr>
          <w:rFonts w:ascii="Cambria" w:hAnsi="Cambria" w:cs="Arial"/>
          <w:b/>
          <w:i/>
          <w:noProof/>
          <w:sz w:val="18"/>
          <w:szCs w:val="18"/>
          <w:lang w:val="cs-CZ"/>
        </w:rPr>
        <w:t xml:space="preserve"> – n</w:t>
      </w:r>
      <w:r>
        <w:rPr>
          <w:rFonts w:ascii="Cambria" w:hAnsi="Cambria" w:cs="Arial"/>
          <w:b/>
          <w:i/>
          <w:noProof/>
          <w:sz w:val="18"/>
          <w:szCs w:val="18"/>
          <w:lang w:val="cs-CZ"/>
        </w:rPr>
        <w:t>elepivý nátěr</w:t>
      </w:r>
    </w:p>
    <w:bookmarkEnd w:id="1"/>
    <w:p w14:paraId="2809F3A7" w14:textId="3077FF7E" w:rsidR="00BA2216" w:rsidRDefault="00BA2216" w:rsidP="00BA2216">
      <w:pPr>
        <w:pStyle w:val="Zhlav"/>
        <w:spacing w:before="60" w:after="60"/>
        <w:ind w:firstLine="142"/>
        <w:jc w:val="both"/>
        <w:rPr>
          <w:rFonts w:ascii="Cambria" w:hAnsi="Cambria" w:cs="Arial"/>
          <w:noProof/>
          <w:sz w:val="18"/>
          <w:szCs w:val="18"/>
          <w:lang w:val="cs-CZ"/>
        </w:rPr>
      </w:pPr>
      <w:r>
        <w:rPr>
          <w:rFonts w:ascii="Cambria" w:hAnsi="Cambria" w:cs="Arial"/>
          <w:noProof/>
          <w:sz w:val="18"/>
          <w:szCs w:val="18"/>
          <w:lang w:val="cs-CZ"/>
        </w:rPr>
        <w:t xml:space="preserve">  V časových intervalech 10 minut – 30 minut - 1 hodina – 2 hodiny – 3 hodiny – 5 hodin – 10 hodin – 24 hodin</w:t>
      </w:r>
      <w:r w:rsidR="00BC4805">
        <w:rPr>
          <w:rFonts w:ascii="Cambria" w:hAnsi="Cambria" w:cs="Arial"/>
          <w:noProof/>
          <w:sz w:val="18"/>
          <w:szCs w:val="18"/>
          <w:lang w:val="cs-CZ"/>
        </w:rPr>
        <w:t xml:space="preserve"> – 48 hodin</w:t>
      </w:r>
      <w:r>
        <w:rPr>
          <w:rFonts w:ascii="Cambria" w:hAnsi="Cambria" w:cs="Arial"/>
          <w:noProof/>
          <w:sz w:val="18"/>
          <w:szCs w:val="18"/>
          <w:lang w:val="cs-CZ"/>
        </w:rPr>
        <w:t xml:space="preserve"> se na nátěr přiloží čtvereček čistého cigaretového papírku rozměru 25 x 25 mm. Na papírek se umístí pryžový kotouč průměru 20 mm a ten na dobu 60 sekund zatíží 200 g závažím. Určuje se doba, kdy se papírek při zatížení nepřilepí a při poklepu podkladu s nátěrem neporušuje celistvost nátěru a čtvereček papíru samovolně odpadne (stupeň nelepivosti B2)</w:t>
      </w:r>
      <w:r w:rsidRPr="007209A0">
        <w:rPr>
          <w:rFonts w:ascii="Cambria" w:hAnsi="Cambria" w:cs="Arial"/>
          <w:noProof/>
          <w:sz w:val="18"/>
          <w:szCs w:val="18"/>
          <w:lang w:val="cs-CZ"/>
        </w:rPr>
        <w:t>.</w:t>
      </w:r>
      <w:r>
        <w:rPr>
          <w:rFonts w:ascii="Cambria" w:hAnsi="Cambria" w:cs="Arial"/>
          <w:noProof/>
          <w:sz w:val="18"/>
          <w:szCs w:val="18"/>
          <w:lang w:val="cs-CZ"/>
        </w:rPr>
        <w:t xml:space="preserve"> </w:t>
      </w:r>
    </w:p>
    <w:p w14:paraId="3FA21CCA" w14:textId="58641E96" w:rsidR="0015591D" w:rsidRPr="00F82ECF" w:rsidRDefault="00AA08F1" w:rsidP="00806CE3">
      <w:pPr>
        <w:pStyle w:val="Zhlav"/>
        <w:spacing w:before="120" w:line="276" w:lineRule="auto"/>
        <w:jc w:val="both"/>
        <w:rPr>
          <w:rFonts w:ascii="Segoe UI" w:hAnsi="Segoe UI" w:cs="Segoe UI"/>
          <w:color w:val="0070C0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665931FD" wp14:editId="06DF9A32">
            <wp:extent cx="336550" cy="336550"/>
            <wp:effectExtent l="0" t="0" r="6350" b="6350"/>
            <wp:docPr id="6" name="Obrázek 6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B73">
        <w:rPr>
          <w:rFonts w:ascii="Segoe UI" w:hAnsi="Segoe UI" w:cs="Segoe UI"/>
          <w:color w:val="0070C0"/>
          <w:lang w:val="cs-CZ"/>
        </w:rPr>
        <w:t xml:space="preserve">   </w:t>
      </w:r>
      <w:r w:rsidR="009A7A2C">
        <w:rPr>
          <w:rFonts w:ascii="Cambria" w:hAnsi="Cambria" w:cs="Segoe UI"/>
          <w:b/>
          <w:color w:val="0070C0"/>
          <w:lang w:val="cs-CZ"/>
        </w:rPr>
        <w:t xml:space="preserve">Dosažené </w:t>
      </w:r>
      <w:proofErr w:type="gramStart"/>
      <w:r w:rsidR="009A7A2C">
        <w:rPr>
          <w:rFonts w:ascii="Cambria" w:hAnsi="Cambria" w:cs="Segoe UI"/>
          <w:b/>
          <w:color w:val="0070C0"/>
          <w:lang w:val="cs-CZ"/>
        </w:rPr>
        <w:t>výsledky</w:t>
      </w:r>
      <w:r w:rsidR="00BC4805">
        <w:rPr>
          <w:rFonts w:ascii="Cambria" w:hAnsi="Cambria" w:cs="Segoe UI"/>
          <w:b/>
          <w:color w:val="0070C0"/>
          <w:lang w:val="cs-CZ"/>
        </w:rPr>
        <w:t xml:space="preserve"> - závěr</w:t>
      </w:r>
      <w:proofErr w:type="gramEnd"/>
    </w:p>
    <w:p w14:paraId="4937442E" w14:textId="77777777" w:rsidR="0015591D" w:rsidRPr="00863373" w:rsidRDefault="00373456" w:rsidP="00296B73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color w:val="0070C0"/>
        </w:rPr>
        <w:pict w14:anchorId="0DACF791">
          <v:rect id="_x0000_i1026" style="width:450pt;height:.5pt" o:hrstd="t" o:hrnoshade="t" o:hr="t" fillcolor="#0070c0" stroked="f"/>
        </w:pict>
      </w:r>
    </w:p>
    <w:tbl>
      <w:tblPr>
        <w:tblStyle w:val="SOWTable"/>
        <w:tblW w:w="4173" w:type="pct"/>
        <w:tblInd w:w="392" w:type="dxa"/>
        <w:tblLayout w:type="fixed"/>
        <w:tblLook w:val="04A0" w:firstRow="1" w:lastRow="0" w:firstColumn="1" w:lastColumn="0" w:noHBand="0" w:noVBand="1"/>
        <w:tblDescription w:val="Fee Schedule"/>
      </w:tblPr>
      <w:tblGrid>
        <w:gridCol w:w="682"/>
        <w:gridCol w:w="2462"/>
        <w:gridCol w:w="1092"/>
        <w:gridCol w:w="1366"/>
        <w:gridCol w:w="1774"/>
        <w:gridCol w:w="34"/>
      </w:tblGrid>
      <w:tr w:rsidR="009A7A2C" w:rsidRPr="00553579" w14:paraId="00DC280A" w14:textId="77777777" w:rsidTr="00553579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40" w:type="pct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shd w:val="clear" w:color="auto" w:fill="0070C0"/>
            <w:vAlign w:val="bottom"/>
          </w:tcPr>
          <w:p w14:paraId="745AB566" w14:textId="77777777" w:rsidR="009A7A2C" w:rsidRPr="00553579" w:rsidRDefault="009A7A2C" w:rsidP="00560DCB">
            <w:pPr>
              <w:jc w:val="center"/>
              <w:rPr>
                <w:rFonts w:ascii="Cambria" w:hAnsi="Cambria"/>
                <w:b/>
                <w:color w:val="F2F2F2" w:themeColor="background1" w:themeShade="F2"/>
                <w:lang w:val="cs-CZ"/>
              </w:rPr>
            </w:pPr>
            <w:r w:rsidRPr="00553579">
              <w:rPr>
                <w:rFonts w:ascii="Cambria" w:hAnsi="Cambria"/>
                <w:b/>
                <w:color w:val="F2F2F2" w:themeColor="background1" w:themeShade="F2"/>
                <w:lang w:val="cs-CZ"/>
              </w:rPr>
              <w:t>Tab. 1</w:t>
            </w:r>
          </w:p>
        </w:tc>
      </w:tr>
      <w:tr w:rsidR="00251E52" w:rsidRPr="00553579" w14:paraId="7840DDC8" w14:textId="77777777" w:rsidTr="00553579">
        <w:trPr>
          <w:gridAfter w:val="1"/>
          <w:wAfter w:w="2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  <w:gridSpan w:val="2"/>
            <w:shd w:val="clear" w:color="auto" w:fill="66CCFF"/>
          </w:tcPr>
          <w:p w14:paraId="18F8CB39" w14:textId="5D5E439C" w:rsidR="00251E52" w:rsidRPr="00553579" w:rsidRDefault="00251E52" w:rsidP="00560DCB">
            <w:pPr>
              <w:jc w:val="center"/>
              <w:rPr>
                <w:rFonts w:ascii="Cambria" w:hAnsi="Cambria"/>
                <w:b/>
                <w:szCs w:val="16"/>
                <w:lang w:val="cs-CZ"/>
              </w:rPr>
            </w:pPr>
            <w:r w:rsidRPr="00553579">
              <w:rPr>
                <w:rFonts w:ascii="Cambria" w:hAnsi="Cambria"/>
                <w:b/>
                <w:szCs w:val="16"/>
                <w:lang w:val="cs-CZ"/>
              </w:rPr>
              <w:t>Ukazatel</w:t>
            </w:r>
          </w:p>
        </w:tc>
        <w:tc>
          <w:tcPr>
            <w:tcW w:w="737" w:type="pct"/>
            <w:shd w:val="clear" w:color="auto" w:fill="66CCFF"/>
          </w:tcPr>
          <w:p w14:paraId="564A1BDA" w14:textId="3EC05956" w:rsidR="00251E52" w:rsidRPr="00553579" w:rsidRDefault="00251E52" w:rsidP="0056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cs-C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cs-CZ"/>
                  </w:rPr>
                  <m:t>Jednotka</m:t>
                </m:r>
              </m:oMath>
            </m:oMathPara>
          </w:p>
        </w:tc>
        <w:tc>
          <w:tcPr>
            <w:tcW w:w="922" w:type="pct"/>
            <w:shd w:val="clear" w:color="auto" w:fill="66CCFF"/>
          </w:tcPr>
          <w:p w14:paraId="1075D003" w14:textId="742E3E71" w:rsidR="00251E52" w:rsidRPr="00553579" w:rsidRDefault="00251E52" w:rsidP="0056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cs-CZ"/>
              </w:rPr>
            </w:pPr>
            <w:r w:rsidRPr="00553579">
              <w:rPr>
                <w:rFonts w:ascii="Cambria" w:hAnsi="Cambria"/>
                <w:b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197" w:type="pct"/>
            <w:shd w:val="clear" w:color="auto" w:fill="66CCFF"/>
          </w:tcPr>
          <w:p w14:paraId="1CDA2818" w14:textId="6DD078B6" w:rsidR="00251E52" w:rsidRPr="00553579" w:rsidRDefault="00251E52" w:rsidP="0056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  <w:lang w:val="cs-CZ"/>
              </w:rPr>
            </w:pPr>
            <w:r w:rsidRPr="00553579">
              <w:rPr>
                <w:rFonts w:ascii="Cambria" w:hAnsi="Cambria"/>
                <w:b/>
                <w:sz w:val="16"/>
                <w:szCs w:val="16"/>
                <w:lang w:val="cs-CZ"/>
              </w:rPr>
              <w:t>Poznámka</w:t>
            </w:r>
          </w:p>
        </w:tc>
      </w:tr>
      <w:tr w:rsidR="00C470A9" w14:paraId="023F1136" w14:textId="77777777" w:rsidTr="00C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gridSpan w:val="3"/>
            <w:shd w:val="clear" w:color="auto" w:fill="FFFFFF" w:themeFill="background1"/>
          </w:tcPr>
          <w:p w14:paraId="0BE7044A" w14:textId="1CC25B64" w:rsidR="00C470A9" w:rsidRPr="00BC4805" w:rsidRDefault="00C470A9" w:rsidP="00C470A9">
            <w:pPr>
              <w:rPr>
                <w:rFonts w:ascii="Cambria" w:hAnsi="Cambria"/>
                <w:szCs w:val="16"/>
                <w:lang w:val="cs-CZ"/>
              </w:rPr>
            </w:pPr>
            <w:r w:rsidRPr="00BC4805">
              <w:rPr>
                <w:rFonts w:ascii="Cambria" w:hAnsi="Cambria"/>
                <w:szCs w:val="16"/>
                <w:lang w:val="cs-CZ"/>
              </w:rPr>
              <w:t>Název nátěrové hmoty (barvy/laku)</w:t>
            </w:r>
          </w:p>
        </w:tc>
        <w:tc>
          <w:tcPr>
            <w:tcW w:w="2142" w:type="pct"/>
            <w:gridSpan w:val="3"/>
            <w:shd w:val="clear" w:color="auto" w:fill="auto"/>
          </w:tcPr>
          <w:p w14:paraId="7300D6D8" w14:textId="001ED911" w:rsidR="00C470A9" w:rsidRPr="00BC4805" w:rsidRDefault="00C470A9" w:rsidP="00560D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cs-CZ"/>
              </w:rPr>
            </w:pPr>
          </w:p>
        </w:tc>
      </w:tr>
      <w:tr w:rsidR="00C470A9" w:rsidRPr="00BC4805" w14:paraId="1984DF4E" w14:textId="77777777" w:rsidTr="00C4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gridSpan w:val="3"/>
            <w:shd w:val="clear" w:color="auto" w:fill="FFFFFF" w:themeFill="background1"/>
          </w:tcPr>
          <w:p w14:paraId="09D18266" w14:textId="6738D7FA" w:rsidR="00C470A9" w:rsidRPr="00BC4805" w:rsidRDefault="00C470A9" w:rsidP="00C470A9">
            <w:pPr>
              <w:pStyle w:val="Zhlav"/>
              <w:tabs>
                <w:tab w:val="clear" w:pos="4680"/>
                <w:tab w:val="clear" w:pos="9360"/>
                <w:tab w:val="num" w:pos="1428"/>
              </w:tabs>
              <w:spacing w:after="60"/>
              <w:jc w:val="both"/>
              <w:rPr>
                <w:rFonts w:ascii="Cambria" w:hAnsi="Cambria"/>
                <w:szCs w:val="16"/>
                <w:lang w:val="cs-CZ"/>
              </w:rPr>
            </w:pPr>
            <w:r w:rsidRPr="00BC4805">
              <w:rPr>
                <w:rFonts w:ascii="Cambria" w:hAnsi="Cambria" w:cs="Arial"/>
                <w:bCs/>
                <w:noProof/>
                <w:szCs w:val="16"/>
                <w:lang w:val="cs-CZ"/>
              </w:rPr>
              <w:t>Čas zasychání laku proti prachu – stadium A</w:t>
            </w:r>
            <w:r w:rsidRPr="00BC4805">
              <w:rPr>
                <w:rFonts w:ascii="Cambria" w:hAnsi="Cambria" w:cs="Arial"/>
                <w:bCs/>
                <w:noProof/>
                <w:szCs w:val="16"/>
                <w:lang w:val="de-DE"/>
              </w:rPr>
              <w:t>:</w:t>
            </w:r>
          </w:p>
        </w:tc>
        <w:tc>
          <w:tcPr>
            <w:tcW w:w="922" w:type="pct"/>
            <w:shd w:val="clear" w:color="auto" w:fill="auto"/>
          </w:tcPr>
          <w:p w14:paraId="79CE4C5D" w14:textId="77777777" w:rsidR="00C470A9" w:rsidRPr="00BC4805" w:rsidRDefault="00C470A9" w:rsidP="009A7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cs-CZ"/>
              </w:rPr>
            </w:pPr>
          </w:p>
        </w:tc>
        <w:tc>
          <w:tcPr>
            <w:tcW w:w="1220" w:type="pct"/>
            <w:gridSpan w:val="2"/>
            <w:shd w:val="clear" w:color="auto" w:fill="auto"/>
          </w:tcPr>
          <w:p w14:paraId="71A9C8AF" w14:textId="77777777" w:rsidR="00C470A9" w:rsidRPr="00BC4805" w:rsidRDefault="00C470A9" w:rsidP="009A7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cs-CZ"/>
              </w:rPr>
            </w:pPr>
          </w:p>
        </w:tc>
      </w:tr>
      <w:tr w:rsidR="00646A7F" w:rsidRPr="00BC4805" w14:paraId="020C87C0" w14:textId="77777777" w:rsidTr="00C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gridSpan w:val="3"/>
            <w:shd w:val="clear" w:color="auto" w:fill="FFFFFF" w:themeFill="background1"/>
          </w:tcPr>
          <w:p w14:paraId="383128F4" w14:textId="504B439A" w:rsidR="00646A7F" w:rsidRPr="00BC4805" w:rsidRDefault="00646A7F" w:rsidP="00C470A9">
            <w:pPr>
              <w:pStyle w:val="Zhlav"/>
              <w:tabs>
                <w:tab w:val="clear" w:pos="4680"/>
                <w:tab w:val="clear" w:pos="9360"/>
                <w:tab w:val="num" w:pos="1428"/>
              </w:tabs>
              <w:spacing w:after="60"/>
              <w:jc w:val="both"/>
              <w:rPr>
                <w:rFonts w:ascii="Cambria" w:hAnsi="Cambria" w:cs="Arial"/>
                <w:bCs/>
                <w:noProof/>
                <w:szCs w:val="16"/>
                <w:lang w:val="cs-CZ"/>
              </w:rPr>
            </w:pPr>
            <w:r w:rsidRPr="00BC4805">
              <w:rPr>
                <w:rFonts w:ascii="Cambria" w:hAnsi="Cambria" w:cs="Arial"/>
                <w:bCs/>
                <w:noProof/>
                <w:szCs w:val="16"/>
                <w:lang w:val="cs-CZ"/>
              </w:rPr>
              <w:t>Čas stanovení nelepivého nátěru – stadium B2:</w:t>
            </w:r>
          </w:p>
        </w:tc>
        <w:tc>
          <w:tcPr>
            <w:tcW w:w="922" w:type="pct"/>
            <w:shd w:val="clear" w:color="auto" w:fill="auto"/>
          </w:tcPr>
          <w:p w14:paraId="50FCF5B3" w14:textId="77777777" w:rsidR="00646A7F" w:rsidRPr="00BC4805" w:rsidRDefault="00646A7F" w:rsidP="009A7A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cs-CZ"/>
              </w:rPr>
            </w:pPr>
          </w:p>
        </w:tc>
        <w:tc>
          <w:tcPr>
            <w:tcW w:w="1220" w:type="pct"/>
            <w:gridSpan w:val="2"/>
            <w:shd w:val="clear" w:color="auto" w:fill="auto"/>
          </w:tcPr>
          <w:p w14:paraId="136AC4CC" w14:textId="77777777" w:rsidR="00646A7F" w:rsidRPr="00BC4805" w:rsidRDefault="00646A7F" w:rsidP="009A7A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cs-CZ"/>
              </w:rPr>
            </w:pPr>
          </w:p>
        </w:tc>
      </w:tr>
    </w:tbl>
    <w:p w14:paraId="144237FA" w14:textId="75CF5738" w:rsidR="00553579" w:rsidRDefault="00646A7F" w:rsidP="00BC4805">
      <w:pPr>
        <w:pStyle w:val="Zhlav"/>
        <w:spacing w:before="120"/>
        <w:jc w:val="both"/>
        <w:rPr>
          <w:rFonts w:ascii="Cambria" w:hAnsi="Cambria"/>
          <w:noProof/>
          <w:color w:val="auto"/>
          <w:sz w:val="18"/>
          <w:szCs w:val="18"/>
          <w:lang w:val="cs-CZ"/>
        </w:rPr>
      </w:pPr>
      <w:r>
        <w:rPr>
          <w:rFonts w:ascii="Cambria" w:hAnsi="Cambria"/>
          <w:noProof/>
          <w:color w:val="auto"/>
          <w:sz w:val="18"/>
          <w:szCs w:val="18"/>
          <w:lang w:val="cs-CZ"/>
        </w:rPr>
        <w:t>Stanovený čas zasychání zkoušeného nátěru barvy/laku odpovídá hodnotám stanoveným výrobcům.</w:t>
      </w:r>
    </w:p>
    <w:p w14:paraId="316DE6CC" w14:textId="77777777" w:rsidR="00BC4805" w:rsidRDefault="00BC04E6" w:rsidP="00BC4805">
      <w:pPr>
        <w:spacing w:before="240" w:after="120"/>
        <w:rPr>
          <w:rFonts w:ascii="Cambria" w:hAnsi="Cambria"/>
          <w:b/>
          <w:sz w:val="16"/>
          <w:szCs w:val="16"/>
          <w:lang w:val="cs-CZ"/>
        </w:rPr>
      </w:pPr>
      <w:r w:rsidRPr="00A1331C">
        <w:rPr>
          <w:rFonts w:ascii="Cambria" w:hAnsi="Cambria"/>
          <w:b/>
          <w:sz w:val="16"/>
          <w:szCs w:val="16"/>
          <w:lang w:val="cs-CZ"/>
        </w:rPr>
        <w:t>Materiální zabezpečení:</w:t>
      </w:r>
      <w:r w:rsidR="00BC4805">
        <w:rPr>
          <w:rFonts w:ascii="Cambria" w:hAnsi="Cambria"/>
          <w:b/>
          <w:sz w:val="16"/>
          <w:szCs w:val="16"/>
          <w:lang w:val="cs-CZ"/>
        </w:rPr>
        <w:t xml:space="preserve"> </w:t>
      </w:r>
    </w:p>
    <w:p w14:paraId="5C71699C" w14:textId="29D37CF7" w:rsidR="00BC04E6" w:rsidRDefault="00C470A9" w:rsidP="00BC4805">
      <w:pPr>
        <w:spacing w:before="120" w:after="120" w:line="276" w:lineRule="auto"/>
        <w:rPr>
          <w:rFonts w:ascii="Cambria" w:hAnsi="Cambria"/>
          <w:sz w:val="16"/>
          <w:szCs w:val="16"/>
          <w:lang w:val="cs-CZ"/>
        </w:rPr>
      </w:pPr>
      <w:r>
        <w:rPr>
          <w:rFonts w:ascii="Cambria" w:hAnsi="Cambria"/>
          <w:sz w:val="16"/>
          <w:szCs w:val="16"/>
          <w:lang w:val="cs-CZ"/>
        </w:rPr>
        <w:t xml:space="preserve">Standardní cigaretový papír, závaží 200 g, pryžový kotouč </w:t>
      </w:r>
      <w:r w:rsidR="009A339F">
        <w:rPr>
          <w:rFonts w:ascii="Cambria Math" w:hAnsi="Cambria Math" w:cs="Cambria Math"/>
          <w:sz w:val="16"/>
          <w:szCs w:val="16"/>
          <w:lang w:val="cs-CZ"/>
        </w:rPr>
        <w:t>∅</w:t>
      </w:r>
      <w:r w:rsidR="009A339F">
        <w:rPr>
          <w:rFonts w:ascii="Cambria" w:hAnsi="Cambria"/>
          <w:sz w:val="16"/>
          <w:szCs w:val="16"/>
          <w:lang w:val="cs-CZ"/>
        </w:rPr>
        <w:t xml:space="preserve"> 20 mm, ochranná maska</w:t>
      </w:r>
    </w:p>
    <w:p w14:paraId="565A6D85" w14:textId="6948139E" w:rsidR="007209A0" w:rsidRDefault="00C470A9" w:rsidP="00BC4805">
      <w:pPr>
        <w:spacing w:before="120" w:after="0" w:line="276" w:lineRule="auto"/>
        <w:rPr>
          <w:rFonts w:ascii="Cambria" w:hAnsi="Cambria"/>
          <w:noProof/>
          <w:color w:val="auto"/>
          <w:sz w:val="18"/>
          <w:szCs w:val="18"/>
          <w:lang w:val="cs-CZ"/>
        </w:rPr>
      </w:pPr>
      <w:r>
        <w:rPr>
          <w:rFonts w:ascii="Cambria" w:hAnsi="Cambria"/>
          <w:sz w:val="16"/>
          <w:szCs w:val="16"/>
          <w:lang w:val="cs-CZ"/>
        </w:rPr>
        <w:t>Broušené sklo 100x 150 mm</w:t>
      </w:r>
      <w:r w:rsidR="00646A7F">
        <w:rPr>
          <w:rFonts w:ascii="Cambria" w:hAnsi="Cambria"/>
          <w:sz w:val="16"/>
          <w:szCs w:val="16"/>
          <w:lang w:val="cs-CZ"/>
        </w:rPr>
        <w:t>;</w:t>
      </w:r>
      <w:r>
        <w:rPr>
          <w:rFonts w:ascii="Cambria" w:hAnsi="Cambria"/>
          <w:sz w:val="16"/>
          <w:szCs w:val="16"/>
          <w:lang w:val="cs-CZ"/>
        </w:rPr>
        <w:t xml:space="preserve"> křídový papír</w:t>
      </w:r>
      <w:r w:rsidR="009A339F">
        <w:rPr>
          <w:rFonts w:ascii="Cambria" w:hAnsi="Cambria"/>
          <w:sz w:val="16"/>
          <w:szCs w:val="16"/>
          <w:lang w:val="cs-CZ"/>
        </w:rPr>
        <w:t>; lykopódiem</w:t>
      </w:r>
      <w:r w:rsidR="00646A7F">
        <w:rPr>
          <w:rFonts w:ascii="Cambria" w:hAnsi="Cambria"/>
          <w:sz w:val="16"/>
          <w:szCs w:val="16"/>
          <w:lang w:val="cs-CZ"/>
        </w:rPr>
        <w:t>;</w:t>
      </w:r>
      <w:r w:rsidR="009A339F">
        <w:rPr>
          <w:rFonts w:ascii="Cambria" w:hAnsi="Cambria"/>
          <w:sz w:val="16"/>
          <w:szCs w:val="16"/>
          <w:lang w:val="cs-CZ"/>
        </w:rPr>
        <w:t xml:space="preserve"> p</w:t>
      </w:r>
      <w:r w:rsidR="00BC04E6">
        <w:rPr>
          <w:rFonts w:ascii="Cambria" w:hAnsi="Cambria"/>
          <w:sz w:val="16"/>
          <w:szCs w:val="16"/>
          <w:lang w:val="cs-CZ"/>
        </w:rPr>
        <w:t>sací potřeby</w:t>
      </w:r>
      <w:r w:rsidR="00CF0D32">
        <w:rPr>
          <w:rFonts w:ascii="Cambria" w:hAnsi="Cambria"/>
          <w:sz w:val="16"/>
          <w:szCs w:val="16"/>
          <w:lang w:val="cs-CZ"/>
        </w:rPr>
        <w:t xml:space="preserve">; </w:t>
      </w:r>
      <w:r w:rsidR="00646A7F">
        <w:rPr>
          <w:rFonts w:ascii="Cambria" w:hAnsi="Cambria"/>
          <w:sz w:val="16"/>
          <w:szCs w:val="16"/>
          <w:lang w:val="cs-CZ"/>
        </w:rPr>
        <w:t>d</w:t>
      </w:r>
      <w:r w:rsidR="00BC04E6">
        <w:rPr>
          <w:rFonts w:ascii="Cambria" w:hAnsi="Cambria"/>
          <w:sz w:val="16"/>
          <w:szCs w:val="16"/>
          <w:lang w:val="cs-CZ"/>
        </w:rPr>
        <w:t>eník</w:t>
      </w:r>
      <w:r w:rsidR="00CF0D32">
        <w:rPr>
          <w:rFonts w:ascii="Cambria" w:hAnsi="Cambria"/>
          <w:sz w:val="16"/>
          <w:szCs w:val="16"/>
          <w:lang w:val="cs-CZ"/>
        </w:rPr>
        <w:t xml:space="preserve">; </w:t>
      </w:r>
      <w:r w:rsidR="009A339F">
        <w:rPr>
          <w:rFonts w:ascii="Cambria" w:hAnsi="Cambria"/>
          <w:sz w:val="16"/>
          <w:szCs w:val="16"/>
          <w:lang w:val="cs-CZ"/>
        </w:rPr>
        <w:t>stopky</w:t>
      </w:r>
      <w:r w:rsidR="00CF0D32">
        <w:rPr>
          <w:rFonts w:ascii="Cambria" w:hAnsi="Cambria"/>
          <w:sz w:val="16"/>
          <w:szCs w:val="16"/>
          <w:lang w:val="cs-CZ"/>
        </w:rPr>
        <w:t xml:space="preserve">; </w:t>
      </w:r>
      <w:r w:rsidR="00BC04E6">
        <w:rPr>
          <w:rFonts w:ascii="Cambria" w:hAnsi="Cambria"/>
          <w:sz w:val="16"/>
          <w:szCs w:val="16"/>
          <w:lang w:val="cs-CZ"/>
        </w:rPr>
        <w:t>Metodický pokyn úlohy 1</w:t>
      </w:r>
      <w:r w:rsidR="009A339F">
        <w:rPr>
          <w:rFonts w:ascii="Cambria" w:hAnsi="Cambria"/>
          <w:sz w:val="16"/>
          <w:szCs w:val="16"/>
          <w:lang w:val="cs-CZ"/>
        </w:rPr>
        <w:t>1</w:t>
      </w:r>
    </w:p>
    <w:sectPr w:rsidR="007209A0" w:rsidSect="0092556E">
      <w:headerReference w:type="default" r:id="rId9"/>
      <w:footerReference w:type="default" r:id="rId10"/>
      <w:pgSz w:w="11906" w:h="16838" w:code="9"/>
      <w:pgMar w:top="1077" w:right="1225" w:bottom="1134" w:left="2019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5487" w14:textId="77777777" w:rsidR="00373456" w:rsidRDefault="00373456">
      <w:pPr>
        <w:spacing w:after="0" w:line="240" w:lineRule="auto"/>
      </w:pPr>
      <w:r>
        <w:separator/>
      </w:r>
    </w:p>
  </w:endnote>
  <w:endnote w:type="continuationSeparator" w:id="0">
    <w:p w14:paraId="518EBA06" w14:textId="77777777" w:rsidR="00373456" w:rsidRDefault="0037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DF72" w14:textId="77777777" w:rsidR="00867F0F" w:rsidRDefault="00867F0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BDF73" wp14:editId="5289F0C5">
              <wp:simplePos x="0" y="0"/>
              <wp:positionH relativeFrom="margin">
                <wp:posOffset>2540</wp:posOffset>
              </wp:positionH>
              <wp:positionV relativeFrom="bottomMargin">
                <wp:posOffset>114300</wp:posOffset>
              </wp:positionV>
              <wp:extent cx="5943600" cy="374650"/>
              <wp:effectExtent l="0" t="0" r="0" b="635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8181"/>
                            <w:gridCol w:w="1212"/>
                          </w:tblGrid>
                          <w:tr w:rsidR="00867F0F" w14:paraId="4C0BDF78" w14:textId="77777777" w:rsidTr="00AA1BBC">
                            <w:tc>
                              <w:tcPr>
                                <w:tcW w:w="435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6" w14:textId="2BE65D76" w:rsidR="00867F0F" w:rsidRPr="007209A0" w:rsidRDefault="00867F0F">
                                <w:pPr>
                                  <w:pStyle w:val="Zpat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 xml:space="preserve">   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Praktické cvičení </w:t>
                                </w:r>
                                <w:r w:rsidR="00C470A9">
                                  <w:rPr>
                                    <w:lang w:val="cs-CZ"/>
                                  </w:rPr>
                                  <w:t>1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1 – </w:t>
                                </w:r>
                                <w:r w:rsidR="00C470A9">
                                  <w:rPr>
                                    <w:lang w:val="cs-CZ"/>
                                  </w:rPr>
                                  <w:t>Hodnocení z</w:t>
                                </w:r>
                                <w:r w:rsidR="00646A7F">
                                  <w:rPr>
                                    <w:lang w:val="cs-CZ"/>
                                  </w:rPr>
                                  <w:t>asychání z</w:t>
                                </w:r>
                                <w:r w:rsidR="00C470A9">
                                  <w:rPr>
                                    <w:lang w:val="cs-CZ"/>
                                  </w:rPr>
                                  <w:t>kušebních nátěrů laků a barev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7" w14:textId="07F8678B" w:rsidR="00867F0F" w:rsidRDefault="00867F0F" w:rsidP="001A53EC">
                                <w:pPr>
                                  <w:pStyle w:val="Zpat"/>
                                  <w:jc w:val="center"/>
                                </w:pPr>
                                <w:r w:rsidRPr="007209A0">
                                  <w:rPr>
                                    <w:lang w:val="cs-CZ"/>
                                  </w:rPr>
                                  <w:t xml:space="preserve">        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0BDF79" w14:textId="77777777" w:rsidR="00867F0F" w:rsidRDefault="00867F0F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DF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.2pt;margin-top:9pt;width:468pt;height:29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8181"/>
                      <w:gridCol w:w="1212"/>
                    </w:tblGrid>
                    <w:tr w:rsidR="00867F0F" w14:paraId="4C0BDF78" w14:textId="77777777" w:rsidTr="00AA1BBC">
                      <w:tc>
                        <w:tcPr>
                          <w:tcW w:w="4355" w:type="pct"/>
                          <w:tcBorders>
                            <w:top w:val="single" w:sz="4" w:space="0" w:color="auto"/>
                          </w:tcBorders>
                        </w:tcPr>
                        <w:p w14:paraId="4C0BDF76" w14:textId="2BE65D76" w:rsidR="00867F0F" w:rsidRPr="007209A0" w:rsidRDefault="00867F0F">
                          <w:pPr>
                            <w:pStyle w:val="Zpa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 xml:space="preserve">   </w:t>
                          </w:r>
                          <w:r w:rsidR="00BA088B">
                            <w:rPr>
                              <w:lang w:val="cs-CZ"/>
                            </w:rPr>
                            <w:t xml:space="preserve">Praktické cvičení </w:t>
                          </w:r>
                          <w:r w:rsidR="00C470A9">
                            <w:rPr>
                              <w:lang w:val="cs-CZ"/>
                            </w:rPr>
                            <w:t>1</w:t>
                          </w:r>
                          <w:r w:rsidR="00BA088B">
                            <w:rPr>
                              <w:lang w:val="cs-CZ"/>
                            </w:rPr>
                            <w:t xml:space="preserve">1 – </w:t>
                          </w:r>
                          <w:r w:rsidR="00C470A9">
                            <w:rPr>
                              <w:lang w:val="cs-CZ"/>
                            </w:rPr>
                            <w:t>Hodnocení z</w:t>
                          </w:r>
                          <w:r w:rsidR="00646A7F">
                            <w:rPr>
                              <w:lang w:val="cs-CZ"/>
                            </w:rPr>
                            <w:t>asychání z</w:t>
                          </w:r>
                          <w:r w:rsidR="00C470A9">
                            <w:rPr>
                              <w:lang w:val="cs-CZ"/>
                            </w:rPr>
                            <w:t>kušebních nátěrů laků a barev</w:t>
                          </w:r>
                          <w:r w:rsidR="00BA088B">
                            <w:rPr>
                              <w:lang w:val="cs-CZ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4" w:space="0" w:color="auto"/>
                          </w:tcBorders>
                        </w:tcPr>
                        <w:p w14:paraId="4C0BDF77" w14:textId="07F8678B" w:rsidR="00867F0F" w:rsidRDefault="00867F0F" w:rsidP="001A53EC">
                          <w:pPr>
                            <w:pStyle w:val="Zpat"/>
                            <w:jc w:val="center"/>
                          </w:pPr>
                          <w:r w:rsidRPr="007209A0">
                            <w:rPr>
                              <w:lang w:val="cs-CZ"/>
                            </w:rPr>
                            <w:t xml:space="preserve">      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0BDF79" w14:textId="77777777" w:rsidR="00867F0F" w:rsidRDefault="00867F0F">
                    <w:pPr>
                      <w:pStyle w:val="Zpa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452F7" w14:textId="77777777" w:rsidR="00373456" w:rsidRDefault="00373456">
      <w:pPr>
        <w:spacing w:after="0" w:line="240" w:lineRule="auto"/>
      </w:pPr>
      <w:r>
        <w:separator/>
      </w:r>
    </w:p>
  </w:footnote>
  <w:footnote w:type="continuationSeparator" w:id="0">
    <w:p w14:paraId="44E6F951" w14:textId="77777777" w:rsidR="00373456" w:rsidRDefault="0037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8AD1" w14:textId="45D1BCFD" w:rsidR="00867F0F" w:rsidRDefault="00867F0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4C1812" wp14:editId="6D77CF00">
              <wp:simplePos x="0" y="0"/>
              <wp:positionH relativeFrom="leftMargin">
                <wp:posOffset>552450</wp:posOffset>
              </wp:positionH>
              <wp:positionV relativeFrom="margin">
                <wp:posOffset>0</wp:posOffset>
              </wp:positionV>
              <wp:extent cx="666750" cy="6886575"/>
              <wp:effectExtent l="0" t="0" r="0" b="0"/>
              <wp:wrapNone/>
              <wp:docPr id="2" name="Text Box 2" descr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88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4B26DBF8" w:rsidR="00867F0F" w:rsidRPr="001671E6" w:rsidRDefault="001671E6" w:rsidP="001671E6">
                          <w:pPr>
                            <w:pStyle w:val="Nzev"/>
                            <w:jc w:val="center"/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C2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85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</w:t>
                          </w:r>
                          <w:r w:rsidR="00CC2058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Znehodnocování a pov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r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chové úpravy materiá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ů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54000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5pt;margin-top:0;width:52.5pt;height:5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" filled="f" stroked="f" strokeweight=".5pt">
              <v:textbox style="layout-flow:vertical;mso-layout-flow-alt:bottom-to-top" inset="0,15mm,18pt">
                <w:txbxContent>
                  <w:p w14:paraId="793F85A0" w14:textId="4B26DBF8" w:rsidR="00867F0F" w:rsidRPr="001671E6" w:rsidRDefault="001671E6" w:rsidP="001671E6">
                    <w:pPr>
                      <w:pStyle w:val="Nzev"/>
                      <w:jc w:val="center"/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C2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85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</w:t>
                    </w:r>
                    <w:r w:rsidR="00CC2058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 xml:space="preserve"> Znehodnocování a pov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r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chové úpravy materiá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l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90FB5"/>
    <w:multiLevelType w:val="multilevel"/>
    <w:tmpl w:val="B052C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abstractNum w:abstractNumId="2" w15:restartNumberingAfterBreak="0">
    <w:nsid w:val="0E5A3F1F"/>
    <w:multiLevelType w:val="hybridMultilevel"/>
    <w:tmpl w:val="70D8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889"/>
    <w:multiLevelType w:val="multilevel"/>
    <w:tmpl w:val="DDA6C4F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4" w:hanging="1440"/>
      </w:pPr>
      <w:rPr>
        <w:rFonts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22AC0"/>
    <w:multiLevelType w:val="hybridMultilevel"/>
    <w:tmpl w:val="AE72CE5C"/>
    <w:lvl w:ilvl="0" w:tplc="084249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hyphenationZone w:val="397"/>
  <w:doNotHyphenateCaps/>
  <w:defaultTableStyle w:val="SOW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91"/>
    <w:rsid w:val="00022FEB"/>
    <w:rsid w:val="00026C75"/>
    <w:rsid w:val="00027C6A"/>
    <w:rsid w:val="000325CE"/>
    <w:rsid w:val="000370AC"/>
    <w:rsid w:val="0006006C"/>
    <w:rsid w:val="00076A83"/>
    <w:rsid w:val="0008612B"/>
    <w:rsid w:val="000C6B9E"/>
    <w:rsid w:val="000D6760"/>
    <w:rsid w:val="000E38FD"/>
    <w:rsid w:val="000F09CE"/>
    <w:rsid w:val="00100B68"/>
    <w:rsid w:val="00104089"/>
    <w:rsid w:val="00106EBB"/>
    <w:rsid w:val="00121B13"/>
    <w:rsid w:val="00123ABA"/>
    <w:rsid w:val="00144095"/>
    <w:rsid w:val="001464F7"/>
    <w:rsid w:val="00152C49"/>
    <w:rsid w:val="0015591D"/>
    <w:rsid w:val="00157034"/>
    <w:rsid w:val="0016577B"/>
    <w:rsid w:val="001671E6"/>
    <w:rsid w:val="00191431"/>
    <w:rsid w:val="001A53EC"/>
    <w:rsid w:val="001B2311"/>
    <w:rsid w:val="001C15AC"/>
    <w:rsid w:val="001C7152"/>
    <w:rsid w:val="001D0DD2"/>
    <w:rsid w:val="001D13CB"/>
    <w:rsid w:val="001D21ED"/>
    <w:rsid w:val="001D4867"/>
    <w:rsid w:val="001E7970"/>
    <w:rsid w:val="0020334F"/>
    <w:rsid w:val="002135A7"/>
    <w:rsid w:val="00223616"/>
    <w:rsid w:val="00224BDD"/>
    <w:rsid w:val="00225E54"/>
    <w:rsid w:val="00242E32"/>
    <w:rsid w:val="00251E52"/>
    <w:rsid w:val="002612A4"/>
    <w:rsid w:val="00286160"/>
    <w:rsid w:val="00296B73"/>
    <w:rsid w:val="002A2C16"/>
    <w:rsid w:val="002A3A9F"/>
    <w:rsid w:val="002B725E"/>
    <w:rsid w:val="002E1C25"/>
    <w:rsid w:val="002E1F1A"/>
    <w:rsid w:val="00301F58"/>
    <w:rsid w:val="00316C94"/>
    <w:rsid w:val="003326BF"/>
    <w:rsid w:val="003359EF"/>
    <w:rsid w:val="00356DCB"/>
    <w:rsid w:val="00373456"/>
    <w:rsid w:val="00373D7B"/>
    <w:rsid w:val="003746C5"/>
    <w:rsid w:val="0038456B"/>
    <w:rsid w:val="003A17FC"/>
    <w:rsid w:val="003B1A70"/>
    <w:rsid w:val="003B58BA"/>
    <w:rsid w:val="003B711F"/>
    <w:rsid w:val="003B7628"/>
    <w:rsid w:val="003C3F1D"/>
    <w:rsid w:val="003E2FA4"/>
    <w:rsid w:val="003E35CF"/>
    <w:rsid w:val="003F0C11"/>
    <w:rsid w:val="00403AFB"/>
    <w:rsid w:val="00417EEC"/>
    <w:rsid w:val="00426683"/>
    <w:rsid w:val="0043094E"/>
    <w:rsid w:val="00434568"/>
    <w:rsid w:val="004729B4"/>
    <w:rsid w:val="00477EB7"/>
    <w:rsid w:val="004925D5"/>
    <w:rsid w:val="004D4884"/>
    <w:rsid w:val="004F01F1"/>
    <w:rsid w:val="004F2778"/>
    <w:rsid w:val="004F327C"/>
    <w:rsid w:val="00553437"/>
    <w:rsid w:val="00553579"/>
    <w:rsid w:val="0057212E"/>
    <w:rsid w:val="00584CBD"/>
    <w:rsid w:val="00590F2E"/>
    <w:rsid w:val="005A1C78"/>
    <w:rsid w:val="005A3C4E"/>
    <w:rsid w:val="005A4319"/>
    <w:rsid w:val="005C70CE"/>
    <w:rsid w:val="005D34AF"/>
    <w:rsid w:val="005E10D4"/>
    <w:rsid w:val="005F0198"/>
    <w:rsid w:val="00620791"/>
    <w:rsid w:val="00646A7F"/>
    <w:rsid w:val="006506C3"/>
    <w:rsid w:val="00666C0D"/>
    <w:rsid w:val="006714C1"/>
    <w:rsid w:val="00671635"/>
    <w:rsid w:val="00671B9C"/>
    <w:rsid w:val="00692E10"/>
    <w:rsid w:val="006C2871"/>
    <w:rsid w:val="006F6A73"/>
    <w:rsid w:val="00706487"/>
    <w:rsid w:val="007209A0"/>
    <w:rsid w:val="00721E77"/>
    <w:rsid w:val="00725626"/>
    <w:rsid w:val="0073796F"/>
    <w:rsid w:val="00740BF7"/>
    <w:rsid w:val="00744494"/>
    <w:rsid w:val="00754123"/>
    <w:rsid w:val="00787D2D"/>
    <w:rsid w:val="007913E2"/>
    <w:rsid w:val="00793ADE"/>
    <w:rsid w:val="007C44AA"/>
    <w:rsid w:val="007E1356"/>
    <w:rsid w:val="007F15E9"/>
    <w:rsid w:val="007F67A8"/>
    <w:rsid w:val="0080657A"/>
    <w:rsid w:val="0080688B"/>
    <w:rsid w:val="00806CE3"/>
    <w:rsid w:val="00815372"/>
    <w:rsid w:val="00842C11"/>
    <w:rsid w:val="00844144"/>
    <w:rsid w:val="008552D7"/>
    <w:rsid w:val="00863373"/>
    <w:rsid w:val="00864E1E"/>
    <w:rsid w:val="00866EDD"/>
    <w:rsid w:val="00867F0F"/>
    <w:rsid w:val="00870304"/>
    <w:rsid w:val="00875133"/>
    <w:rsid w:val="00875A8C"/>
    <w:rsid w:val="00881C8C"/>
    <w:rsid w:val="00895826"/>
    <w:rsid w:val="008F1950"/>
    <w:rsid w:val="00900CB0"/>
    <w:rsid w:val="009206B2"/>
    <w:rsid w:val="009237E5"/>
    <w:rsid w:val="0092556E"/>
    <w:rsid w:val="0095289B"/>
    <w:rsid w:val="009609FB"/>
    <w:rsid w:val="00973826"/>
    <w:rsid w:val="00984297"/>
    <w:rsid w:val="009860AD"/>
    <w:rsid w:val="00986C4E"/>
    <w:rsid w:val="009918AA"/>
    <w:rsid w:val="009A339F"/>
    <w:rsid w:val="009A7A2C"/>
    <w:rsid w:val="009D778F"/>
    <w:rsid w:val="00A01FFA"/>
    <w:rsid w:val="00A06E23"/>
    <w:rsid w:val="00A12AEF"/>
    <w:rsid w:val="00A1541A"/>
    <w:rsid w:val="00A23ABA"/>
    <w:rsid w:val="00A54E6A"/>
    <w:rsid w:val="00A57402"/>
    <w:rsid w:val="00A71A4D"/>
    <w:rsid w:val="00A8461C"/>
    <w:rsid w:val="00A9157E"/>
    <w:rsid w:val="00AA08F1"/>
    <w:rsid w:val="00AA1BBC"/>
    <w:rsid w:val="00AD67F1"/>
    <w:rsid w:val="00AF47DC"/>
    <w:rsid w:val="00B11999"/>
    <w:rsid w:val="00B14753"/>
    <w:rsid w:val="00B46175"/>
    <w:rsid w:val="00B474B3"/>
    <w:rsid w:val="00B47902"/>
    <w:rsid w:val="00B62A77"/>
    <w:rsid w:val="00B75E34"/>
    <w:rsid w:val="00B86BD9"/>
    <w:rsid w:val="00BA088B"/>
    <w:rsid w:val="00BA2216"/>
    <w:rsid w:val="00BA2DEE"/>
    <w:rsid w:val="00BB1AEC"/>
    <w:rsid w:val="00BB2EA6"/>
    <w:rsid w:val="00BC04E6"/>
    <w:rsid w:val="00BC4805"/>
    <w:rsid w:val="00BC6AA6"/>
    <w:rsid w:val="00BD0730"/>
    <w:rsid w:val="00BD18A1"/>
    <w:rsid w:val="00BD6480"/>
    <w:rsid w:val="00BE1752"/>
    <w:rsid w:val="00BF5E90"/>
    <w:rsid w:val="00C41C67"/>
    <w:rsid w:val="00C470A9"/>
    <w:rsid w:val="00CB392B"/>
    <w:rsid w:val="00CC2058"/>
    <w:rsid w:val="00CC2944"/>
    <w:rsid w:val="00CD36F7"/>
    <w:rsid w:val="00CD70B5"/>
    <w:rsid w:val="00CF0D32"/>
    <w:rsid w:val="00D01FFA"/>
    <w:rsid w:val="00D12536"/>
    <w:rsid w:val="00D240E0"/>
    <w:rsid w:val="00D32754"/>
    <w:rsid w:val="00D700AE"/>
    <w:rsid w:val="00D71FD8"/>
    <w:rsid w:val="00D7556B"/>
    <w:rsid w:val="00D97205"/>
    <w:rsid w:val="00DC2E95"/>
    <w:rsid w:val="00DD019E"/>
    <w:rsid w:val="00DD329F"/>
    <w:rsid w:val="00DF181C"/>
    <w:rsid w:val="00E10051"/>
    <w:rsid w:val="00E11B94"/>
    <w:rsid w:val="00E11FB6"/>
    <w:rsid w:val="00E1761E"/>
    <w:rsid w:val="00E341DA"/>
    <w:rsid w:val="00E4610F"/>
    <w:rsid w:val="00E60615"/>
    <w:rsid w:val="00E615CA"/>
    <w:rsid w:val="00E840A8"/>
    <w:rsid w:val="00E94F35"/>
    <w:rsid w:val="00EC064A"/>
    <w:rsid w:val="00EC1998"/>
    <w:rsid w:val="00ED15A5"/>
    <w:rsid w:val="00ED15A8"/>
    <w:rsid w:val="00ED3248"/>
    <w:rsid w:val="00EE2398"/>
    <w:rsid w:val="00EE5217"/>
    <w:rsid w:val="00EE6C7B"/>
    <w:rsid w:val="00F04DEE"/>
    <w:rsid w:val="00F235AC"/>
    <w:rsid w:val="00F5066B"/>
    <w:rsid w:val="00F6593C"/>
    <w:rsid w:val="00F76D64"/>
    <w:rsid w:val="00F778BD"/>
    <w:rsid w:val="00F822F9"/>
    <w:rsid w:val="00F82ECF"/>
    <w:rsid w:val="00FA64C9"/>
    <w:rsid w:val="00FB19C1"/>
    <w:rsid w:val="00FB2B36"/>
    <w:rsid w:val="00FB3EEB"/>
    <w:rsid w:val="00FC2C8C"/>
    <w:rsid w:val="00FD5EEA"/>
    <w:rsid w:val="00FD73A6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BDEDB"/>
  <w15:docId w15:val="{DCACCA17-0886-4FCD-B772-1B5D0C8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Pr>
      <w:color w:val="F24F4F" w:themeColor="accent1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lntabulka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ln"/>
    <w:next w:val="Normln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ln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SignatureTable">
    <w:name w:val="Signature Table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EE"/>
    <w:rPr>
      <w:rFonts w:ascii="Tahoma" w:hAnsi="Tahoma" w:cs="Tahoma"/>
      <w:sz w:val="16"/>
      <w:szCs w:val="16"/>
    </w:rPr>
  </w:style>
  <w:style w:type="table" w:customStyle="1" w:styleId="ProjectScopeTable">
    <w:name w:val="Project Scope Table"/>
    <w:basedOn w:val="Normlntabulka"/>
    <w:uiPriority w:val="99"/>
    <w:rsid w:val="00EE6C7B"/>
    <w:pPr>
      <w:spacing w:before="120" w:after="120" w:line="240" w:lineRule="auto"/>
    </w:pPr>
    <w:rPr>
      <w:rFonts w:eastAsiaTheme="minorHAnsi"/>
      <w:color w:val="404040" w:themeColor="text1" w:themeTint="BF"/>
      <w:sz w:val="18"/>
      <w:lang w:val="cs-CZ" w:eastAsia="en-US"/>
    </w:rPr>
    <w:tblPr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24F4F" w:themeColor="accent1"/>
        <w:insideV w:val="single" w:sz="4" w:space="0" w:color="F24F4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CDBDB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24F4F" w:themeFill="accent1"/>
      </w:tcPr>
    </w:tblStylePr>
  </w:style>
  <w:style w:type="paragraph" w:styleId="Normlnweb">
    <w:name w:val="Normal (Web)"/>
    <w:basedOn w:val="Normln"/>
    <w:uiPriority w:val="99"/>
    <w:semiHidden/>
    <w:unhideWhenUsed/>
    <w:rsid w:val="00E1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table" w:styleId="Stednseznam2zvraznn1">
    <w:name w:val="Medium List 2 Accent 1"/>
    <w:basedOn w:val="Normlntabulka"/>
    <w:uiPriority w:val="66"/>
    <w:rsid w:val="009A7A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cs-CZ" w:eastAsia="cs-CZ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4F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2151</Characters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2019-02-10T10:58:00Z</cp:lastPrinted>
  <dcterms:created xsi:type="dcterms:W3CDTF">2019-03-02T09:28:00Z</dcterms:created>
  <dcterms:modified xsi:type="dcterms:W3CDTF">2019-03-02T09:28:00Z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