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95" w:rsidRDefault="000539F3" w:rsidP="00F52595">
      <w:pPr>
        <w:pStyle w:val="Nadpis1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caps/>
          <w:sz w:val="32"/>
          <w:szCs w:val="32"/>
        </w:rPr>
        <w:t>DoplnĚNÍ k teorii</w:t>
      </w:r>
    </w:p>
    <w:p w:rsidR="00F52595" w:rsidRDefault="00F52595" w:rsidP="00F52595">
      <w:pPr>
        <w:spacing w:before="120"/>
        <w:jc w:val="center"/>
        <w:rPr>
          <w:b/>
          <w:u w:val="single"/>
        </w:rPr>
      </w:pPr>
    </w:p>
    <w:p w:rsidR="00F52595" w:rsidRDefault="00F52595" w:rsidP="00EF5695">
      <w:pPr>
        <w:pStyle w:val="Bezmezer"/>
        <w:tabs>
          <w:tab w:val="left" w:pos="900"/>
        </w:tabs>
        <w:spacing w:after="200"/>
        <w:ind w:left="36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1.</w:t>
      </w:r>
      <w:r>
        <w:rPr>
          <w:rFonts w:ascii="Times New Roman" w:hAnsi="Times New Roman"/>
          <w:b/>
          <w:bCs/>
          <w:iCs/>
        </w:rPr>
        <w:tab/>
        <w:t>C</w:t>
      </w:r>
      <w:r w:rsidR="00562947">
        <w:rPr>
          <w:rFonts w:ascii="Times New Roman" w:hAnsi="Times New Roman"/>
          <w:b/>
          <w:bCs/>
          <w:iCs/>
        </w:rPr>
        <w:t>hromatografické metody</w:t>
      </w:r>
      <w:r w:rsidR="002A6C8F">
        <w:rPr>
          <w:rFonts w:ascii="Times New Roman" w:hAnsi="Times New Roman"/>
          <w:b/>
          <w:bCs/>
          <w:iCs/>
        </w:rPr>
        <w:t xml:space="preserve"> – HPLC a GC</w:t>
      </w:r>
    </w:p>
    <w:p w:rsidR="00562947" w:rsidRDefault="00562947" w:rsidP="00356BD5">
      <w:pPr>
        <w:spacing w:line="240" w:lineRule="auto"/>
        <w:ind w:left="360"/>
        <w:rPr>
          <w:sz w:val="20"/>
        </w:rPr>
      </w:pPr>
      <w:r>
        <w:rPr>
          <w:sz w:val="20"/>
        </w:rPr>
        <w:t xml:space="preserve">Úlohy: </w:t>
      </w:r>
      <w:proofErr w:type="gramStart"/>
      <w:r>
        <w:rPr>
          <w:sz w:val="20"/>
        </w:rPr>
        <w:t>č.1 –</w:t>
      </w:r>
      <w:r w:rsidR="00F34FEA">
        <w:rPr>
          <w:sz w:val="20"/>
        </w:rPr>
        <w:t xml:space="preserve"> </w:t>
      </w:r>
      <w:r>
        <w:rPr>
          <w:sz w:val="20"/>
        </w:rPr>
        <w:t>Analýza</w:t>
      </w:r>
      <w:proofErr w:type="gramEnd"/>
      <w:r>
        <w:rPr>
          <w:sz w:val="20"/>
        </w:rPr>
        <w:t xml:space="preserve"> směsi </w:t>
      </w:r>
      <w:proofErr w:type="spellStart"/>
      <w:r>
        <w:rPr>
          <w:sz w:val="20"/>
        </w:rPr>
        <w:t>methylxantinů</w:t>
      </w:r>
      <w:proofErr w:type="spellEnd"/>
      <w:r>
        <w:rPr>
          <w:sz w:val="20"/>
        </w:rPr>
        <w:t xml:space="preserve"> pomocí ka</w:t>
      </w:r>
      <w:r w:rsidR="00697918">
        <w:rPr>
          <w:sz w:val="20"/>
        </w:rPr>
        <w:t>p</w:t>
      </w:r>
      <w:r>
        <w:rPr>
          <w:sz w:val="20"/>
        </w:rPr>
        <w:t>alinové chromatografie</w:t>
      </w:r>
    </w:p>
    <w:p w:rsidR="00562947" w:rsidRDefault="00562947" w:rsidP="00562947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ab/>
        <w:t xml:space="preserve"> </w:t>
      </w:r>
      <w:proofErr w:type="gramStart"/>
      <w:r>
        <w:rPr>
          <w:sz w:val="20"/>
        </w:rPr>
        <w:t>č.4 – Stanovení</w:t>
      </w:r>
      <w:proofErr w:type="gramEnd"/>
      <w:r>
        <w:rPr>
          <w:sz w:val="20"/>
        </w:rPr>
        <w:t xml:space="preserve"> acetonu pomocí plynové chromatografie</w:t>
      </w:r>
    </w:p>
    <w:p w:rsidR="00562947" w:rsidRDefault="00562947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97918" w:rsidRDefault="00697918" w:rsidP="00697918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Volba samotného výpočtu</w:t>
      </w:r>
      <w:r w:rsidR="00562947">
        <w:rPr>
          <w:sz w:val="20"/>
        </w:rPr>
        <w:t xml:space="preserve"> chromatografických parametrů </w:t>
      </w:r>
      <w:r>
        <w:rPr>
          <w:sz w:val="20"/>
        </w:rPr>
        <w:t xml:space="preserve">- </w:t>
      </w:r>
      <w:r w:rsidR="00562947">
        <w:rPr>
          <w:sz w:val="20"/>
        </w:rPr>
        <w:t>počtu efektivních</w:t>
      </w:r>
      <w:r>
        <w:rPr>
          <w:sz w:val="20"/>
        </w:rPr>
        <w:t xml:space="preserve"> teoretických pater </w:t>
      </w:r>
      <w:proofErr w:type="spellStart"/>
      <w:r w:rsidRPr="00E12F40">
        <w:rPr>
          <w:i/>
          <w:sz w:val="20"/>
        </w:rPr>
        <w:t>N</w:t>
      </w:r>
      <w:r w:rsidRPr="00E12F40">
        <w:rPr>
          <w:sz w:val="20"/>
          <w:vertAlign w:val="subscript"/>
        </w:rPr>
        <w:t>ef</w:t>
      </w:r>
      <w:proofErr w:type="spellEnd"/>
      <w:r w:rsidRPr="00E12F40">
        <w:rPr>
          <w:sz w:val="20"/>
        </w:rPr>
        <w:t xml:space="preserve"> </w:t>
      </w:r>
      <w:r>
        <w:rPr>
          <w:sz w:val="20"/>
        </w:rPr>
        <w:t xml:space="preserve">a rozlišení </w:t>
      </w:r>
      <w:r w:rsidRPr="00E12F40">
        <w:rPr>
          <w:i/>
          <w:sz w:val="20"/>
        </w:rPr>
        <w:t>R</w:t>
      </w:r>
      <w:r>
        <w:rPr>
          <w:sz w:val="20"/>
        </w:rPr>
        <w:t xml:space="preserve"> - závisí na získaném chromatografickém záznamu. </w:t>
      </w:r>
    </w:p>
    <w:p w:rsidR="00697918" w:rsidRDefault="00697918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97918" w:rsidRDefault="00697918" w:rsidP="00697918">
      <w:pPr>
        <w:tabs>
          <w:tab w:val="left" w:pos="900"/>
        </w:tabs>
        <w:spacing w:line="240" w:lineRule="auto"/>
        <w:ind w:left="360"/>
        <w:rPr>
          <w:sz w:val="20"/>
        </w:rPr>
      </w:pPr>
      <w:r w:rsidRPr="00EE3209">
        <w:rPr>
          <w:i/>
          <w:sz w:val="20"/>
        </w:rPr>
        <w:t xml:space="preserve">Je-li </w:t>
      </w:r>
      <w:proofErr w:type="spellStart"/>
      <w:r w:rsidRPr="00EE3209">
        <w:rPr>
          <w:i/>
          <w:sz w:val="20"/>
        </w:rPr>
        <w:t>eluční</w:t>
      </w:r>
      <w:proofErr w:type="spellEnd"/>
      <w:r w:rsidRPr="00EE3209">
        <w:rPr>
          <w:i/>
          <w:sz w:val="20"/>
        </w:rPr>
        <w:t xml:space="preserve"> křivka chromatogramu souběžná se základnou</w:t>
      </w:r>
      <w:r>
        <w:rPr>
          <w:sz w:val="20"/>
        </w:rPr>
        <w:t xml:space="preserve"> (tedy rovná a bez vzrůstající tendence) využívá se pro výpočet šířka píku při základně, podle níže uvedených vzorců.</w:t>
      </w:r>
    </w:p>
    <w:p w:rsidR="00697918" w:rsidRDefault="00697918" w:rsidP="00697918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 xml:space="preserve">Hodnota rozlišení </w:t>
      </w:r>
      <w:r w:rsidRPr="00E12F40">
        <w:rPr>
          <w:i/>
          <w:sz w:val="20"/>
        </w:rPr>
        <w:t>R</w:t>
      </w:r>
      <w:r>
        <w:rPr>
          <w:sz w:val="20"/>
        </w:rPr>
        <w:t>, představující míru separace dvou chromatografických píku je vypočtena:</w:t>
      </w:r>
    </w:p>
    <w:p w:rsidR="00697918" w:rsidRDefault="00697918" w:rsidP="00697918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97918" w:rsidRDefault="00EE3209" w:rsidP="00EE3209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 w:rsidRPr="00EE3209">
        <w:rPr>
          <w:position w:val="-30"/>
          <w:sz w:val="20"/>
        </w:rPr>
        <w:object w:dxaOrig="20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6.75pt" o:ole="">
            <v:imagedata r:id="rId7" o:title=""/>
          </v:shape>
          <o:OLEObject Type="Embed" ProgID="Equation.3" ShapeID="_x0000_i1025" DrawAspect="Content" ObjectID="_1612349423" r:id="rId8"/>
        </w:object>
      </w:r>
    </w:p>
    <w:p w:rsidR="00EE3209" w:rsidRDefault="00EE3209" w:rsidP="00EE3209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</w:p>
    <w:p w:rsidR="00697918" w:rsidRDefault="00EE3209" w:rsidP="00562947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i/>
          <w:sz w:val="20"/>
        </w:rPr>
        <w:t>kde:</w:t>
      </w:r>
      <w:r>
        <w:rPr>
          <w:sz w:val="20"/>
        </w:rPr>
        <w:t xml:space="preserve"> </w:t>
      </w:r>
      <w:proofErr w:type="spellStart"/>
      <w:r>
        <w:rPr>
          <w:i/>
          <w:sz w:val="20"/>
        </w:rPr>
        <w:t>t</w:t>
      </w:r>
      <w:r>
        <w:rPr>
          <w:sz w:val="20"/>
          <w:vertAlign w:val="subscript"/>
        </w:rPr>
        <w:t>R</w:t>
      </w:r>
      <w:proofErr w:type="spellEnd"/>
      <w:r>
        <w:rPr>
          <w:sz w:val="20"/>
        </w:rPr>
        <w:t xml:space="preserve"> je retenční čas příslušného </w:t>
      </w:r>
      <w:proofErr w:type="spellStart"/>
      <w:r>
        <w:rPr>
          <w:sz w:val="20"/>
        </w:rPr>
        <w:t>analytu</w:t>
      </w:r>
      <w:proofErr w:type="spellEnd"/>
    </w:p>
    <w:p w:rsidR="00EE3209" w:rsidRDefault="00EE3209" w:rsidP="00EE3209">
      <w:pPr>
        <w:tabs>
          <w:tab w:val="left" w:pos="720"/>
        </w:tabs>
        <w:spacing w:line="240" w:lineRule="auto"/>
        <w:ind w:left="360"/>
        <w:rPr>
          <w:sz w:val="20"/>
        </w:rPr>
      </w:pPr>
      <w:r>
        <w:rPr>
          <w:i/>
          <w:sz w:val="20"/>
        </w:rPr>
        <w:tab/>
        <w:t>w</w:t>
      </w:r>
      <w:r>
        <w:rPr>
          <w:sz w:val="20"/>
        </w:rPr>
        <w:t xml:space="preserve"> je délka základny příslušného </w:t>
      </w:r>
      <w:proofErr w:type="gramStart"/>
      <w:r>
        <w:rPr>
          <w:sz w:val="20"/>
        </w:rPr>
        <w:t>píku</w:t>
      </w:r>
      <w:proofErr w:type="gramEnd"/>
    </w:p>
    <w:p w:rsidR="00EE3209" w:rsidRDefault="00EE3209" w:rsidP="00EE3209">
      <w:pPr>
        <w:tabs>
          <w:tab w:val="left" w:pos="720"/>
        </w:tabs>
        <w:spacing w:line="240" w:lineRule="auto"/>
        <w:ind w:left="360"/>
        <w:rPr>
          <w:i/>
          <w:sz w:val="20"/>
        </w:rPr>
      </w:pPr>
      <w:r>
        <w:rPr>
          <w:i/>
          <w:sz w:val="20"/>
        </w:rPr>
        <w:tab/>
      </w:r>
    </w:p>
    <w:p w:rsidR="00EE3209" w:rsidRDefault="00EE3209" w:rsidP="00EE3209">
      <w:pPr>
        <w:tabs>
          <w:tab w:val="left" w:pos="720"/>
        </w:tabs>
        <w:spacing w:line="240" w:lineRule="auto"/>
        <w:ind w:left="360"/>
        <w:rPr>
          <w:sz w:val="20"/>
        </w:rPr>
      </w:pPr>
      <w:r w:rsidRPr="00EE3209">
        <w:rPr>
          <w:sz w:val="20"/>
        </w:rPr>
        <w:t xml:space="preserve">Pro </w:t>
      </w:r>
      <w:r w:rsidR="00E12F40">
        <w:rPr>
          <w:sz w:val="20"/>
        </w:rPr>
        <w:t xml:space="preserve">počet </w:t>
      </w:r>
      <w:r w:rsidRPr="00EE3209">
        <w:rPr>
          <w:sz w:val="20"/>
        </w:rPr>
        <w:t>efektivní</w:t>
      </w:r>
      <w:r w:rsidR="00E12F40">
        <w:rPr>
          <w:sz w:val="20"/>
        </w:rPr>
        <w:t>ch</w:t>
      </w:r>
      <w:r w:rsidRPr="00EE3209">
        <w:rPr>
          <w:sz w:val="20"/>
        </w:rPr>
        <w:t xml:space="preserve"> </w:t>
      </w:r>
      <w:r>
        <w:rPr>
          <w:sz w:val="20"/>
        </w:rPr>
        <w:t xml:space="preserve">(vztaženo k inertnímu </w:t>
      </w:r>
      <w:proofErr w:type="spellStart"/>
      <w:r>
        <w:rPr>
          <w:sz w:val="20"/>
        </w:rPr>
        <w:t>analytu</w:t>
      </w:r>
      <w:proofErr w:type="spellEnd"/>
      <w:r>
        <w:rPr>
          <w:sz w:val="20"/>
        </w:rPr>
        <w:t xml:space="preserve">) </w:t>
      </w:r>
      <w:r w:rsidRPr="00EE3209">
        <w:rPr>
          <w:sz w:val="20"/>
        </w:rPr>
        <w:t>teor</w:t>
      </w:r>
      <w:r>
        <w:rPr>
          <w:sz w:val="20"/>
        </w:rPr>
        <w:t xml:space="preserve">etických pater </w:t>
      </w:r>
      <w:proofErr w:type="spellStart"/>
      <w:r>
        <w:rPr>
          <w:i/>
          <w:sz w:val="20"/>
        </w:rPr>
        <w:t>N</w:t>
      </w:r>
      <w:r>
        <w:rPr>
          <w:sz w:val="20"/>
          <w:vertAlign w:val="subscript"/>
        </w:rPr>
        <w:t>ef</w:t>
      </w:r>
      <w:proofErr w:type="spellEnd"/>
      <w:r>
        <w:rPr>
          <w:sz w:val="20"/>
        </w:rPr>
        <w:t xml:space="preserve"> , které </w:t>
      </w:r>
      <w:r w:rsidR="00855A64">
        <w:rPr>
          <w:sz w:val="20"/>
        </w:rPr>
        <w:t>udává</w:t>
      </w:r>
      <w:r>
        <w:rPr>
          <w:sz w:val="20"/>
        </w:rPr>
        <w:t xml:space="preserve"> míru účinnosti</w:t>
      </w:r>
      <w:r w:rsidR="00855A64">
        <w:rPr>
          <w:sz w:val="20"/>
        </w:rPr>
        <w:t xml:space="preserve"> separační kolony</w:t>
      </w:r>
      <w:r>
        <w:rPr>
          <w:sz w:val="20"/>
        </w:rPr>
        <w:t>, použijeme následující vzorec:</w:t>
      </w:r>
    </w:p>
    <w:p w:rsidR="00EE3209" w:rsidRPr="00EE3209" w:rsidRDefault="00EE3209" w:rsidP="00EE3209">
      <w:pPr>
        <w:tabs>
          <w:tab w:val="left" w:pos="720"/>
        </w:tabs>
        <w:spacing w:line="240" w:lineRule="auto"/>
        <w:ind w:left="360"/>
        <w:rPr>
          <w:sz w:val="20"/>
        </w:rPr>
      </w:pPr>
    </w:p>
    <w:p w:rsidR="00EE3209" w:rsidRDefault="00E12F40" w:rsidP="00EE3209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 w:rsidRPr="00E12F40">
        <w:rPr>
          <w:position w:val="-28"/>
          <w:sz w:val="20"/>
        </w:rPr>
        <w:object w:dxaOrig="2060" w:dyaOrig="740">
          <v:shape id="_x0000_i1026" type="#_x0000_t75" style="width:102.75pt;height:36.75pt" o:ole="">
            <v:imagedata r:id="rId9" o:title=""/>
          </v:shape>
          <o:OLEObject Type="Embed" ProgID="Equation.3" ShapeID="_x0000_i1026" DrawAspect="Content" ObjectID="_1612349424" r:id="rId10"/>
        </w:object>
      </w:r>
    </w:p>
    <w:p w:rsidR="00EE3209" w:rsidRDefault="00EE3209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EE3209" w:rsidRDefault="00EE3209" w:rsidP="00EE3209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i/>
          <w:sz w:val="20"/>
        </w:rPr>
        <w:t>kde:</w:t>
      </w:r>
      <w:r>
        <w:rPr>
          <w:sz w:val="20"/>
        </w:rPr>
        <w:t xml:space="preserve"> </w:t>
      </w:r>
      <w:proofErr w:type="spellStart"/>
      <w:r>
        <w:rPr>
          <w:i/>
          <w:sz w:val="20"/>
        </w:rPr>
        <w:t>t</w:t>
      </w:r>
      <w:r>
        <w:rPr>
          <w:sz w:val="20"/>
          <w:vertAlign w:val="subscript"/>
        </w:rPr>
        <w:t>R</w:t>
      </w:r>
      <w:proofErr w:type="spellEnd"/>
      <w:r>
        <w:rPr>
          <w:sz w:val="20"/>
        </w:rPr>
        <w:t xml:space="preserve"> je retenční čas příslušného </w:t>
      </w:r>
      <w:proofErr w:type="spellStart"/>
      <w:r>
        <w:rPr>
          <w:sz w:val="20"/>
        </w:rPr>
        <w:t>analytu</w:t>
      </w:r>
      <w:proofErr w:type="spellEnd"/>
    </w:p>
    <w:p w:rsidR="00EE3209" w:rsidRDefault="00EE3209" w:rsidP="00EE3209">
      <w:pPr>
        <w:tabs>
          <w:tab w:val="left" w:pos="720"/>
        </w:tabs>
        <w:spacing w:line="240" w:lineRule="auto"/>
        <w:ind w:left="360"/>
        <w:rPr>
          <w:sz w:val="20"/>
        </w:rPr>
      </w:pPr>
      <w:r>
        <w:rPr>
          <w:i/>
          <w:sz w:val="20"/>
        </w:rPr>
        <w:tab/>
      </w:r>
      <w:proofErr w:type="spellStart"/>
      <w:r>
        <w:rPr>
          <w:i/>
          <w:sz w:val="20"/>
        </w:rPr>
        <w:t>t</w:t>
      </w:r>
      <w:r>
        <w:rPr>
          <w:sz w:val="20"/>
          <w:vertAlign w:val="subscript"/>
        </w:rPr>
        <w:t>M</w:t>
      </w:r>
      <w:proofErr w:type="spellEnd"/>
      <w:r>
        <w:rPr>
          <w:sz w:val="20"/>
        </w:rPr>
        <w:t xml:space="preserve"> je mrtvý čas</w:t>
      </w:r>
    </w:p>
    <w:p w:rsidR="00EE3209" w:rsidRDefault="00EE3209" w:rsidP="00EE3209">
      <w:pPr>
        <w:tabs>
          <w:tab w:val="left" w:pos="720"/>
        </w:tabs>
        <w:spacing w:line="240" w:lineRule="auto"/>
        <w:ind w:left="360"/>
        <w:rPr>
          <w:sz w:val="20"/>
        </w:rPr>
      </w:pPr>
      <w:r>
        <w:rPr>
          <w:i/>
          <w:sz w:val="20"/>
        </w:rPr>
        <w:tab/>
        <w:t>w</w:t>
      </w:r>
      <w:r>
        <w:rPr>
          <w:sz w:val="20"/>
        </w:rPr>
        <w:t xml:space="preserve"> </w:t>
      </w:r>
      <w:r w:rsidRPr="00EE3209">
        <w:rPr>
          <w:sz w:val="20"/>
        </w:rPr>
        <w:t>je délka základny</w:t>
      </w:r>
      <w:r>
        <w:rPr>
          <w:sz w:val="20"/>
        </w:rPr>
        <w:t xml:space="preserve"> příslušného </w:t>
      </w:r>
      <w:proofErr w:type="gramStart"/>
      <w:r>
        <w:rPr>
          <w:sz w:val="20"/>
        </w:rPr>
        <w:t>píku</w:t>
      </w:r>
      <w:proofErr w:type="gramEnd"/>
    </w:p>
    <w:p w:rsidR="00EE3209" w:rsidRDefault="00EE3209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EE3209" w:rsidRDefault="00EE3209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97918" w:rsidRDefault="00697918" w:rsidP="00562947">
      <w:pPr>
        <w:tabs>
          <w:tab w:val="left" w:pos="900"/>
        </w:tabs>
        <w:spacing w:line="240" w:lineRule="auto"/>
        <w:ind w:left="360"/>
        <w:rPr>
          <w:sz w:val="20"/>
        </w:rPr>
      </w:pPr>
      <w:r w:rsidRPr="00EE3209">
        <w:rPr>
          <w:i/>
          <w:sz w:val="20"/>
        </w:rPr>
        <w:t xml:space="preserve">Má-li však </w:t>
      </w:r>
      <w:proofErr w:type="spellStart"/>
      <w:r w:rsidRPr="00EE3209">
        <w:rPr>
          <w:i/>
          <w:sz w:val="20"/>
        </w:rPr>
        <w:t>eluční</w:t>
      </w:r>
      <w:proofErr w:type="spellEnd"/>
      <w:r w:rsidRPr="00EE3209">
        <w:rPr>
          <w:i/>
          <w:sz w:val="20"/>
        </w:rPr>
        <w:t xml:space="preserve"> křivka tendenci růstu a není její profil souběžný s časovou osou</w:t>
      </w:r>
      <w:r>
        <w:rPr>
          <w:sz w:val="20"/>
        </w:rPr>
        <w:t xml:space="preserve"> (základnou), bylo by v tomto případě využití šířky píku při základně nesprávné, provádíme výpočty závisle proměnných parametrů ze šířky píku v polovině jeho výšky.</w:t>
      </w:r>
      <w:r w:rsidR="008B26F2">
        <w:rPr>
          <w:sz w:val="20"/>
        </w:rPr>
        <w:t xml:space="preserve"> Tato metoda stejně jako u inflexní metody (ve výšce 60,7 % </w:t>
      </w:r>
      <w:proofErr w:type="gramStart"/>
      <w:r w:rsidR="008B26F2">
        <w:rPr>
          <w:sz w:val="20"/>
        </w:rPr>
        <w:t>pro</w:t>
      </w:r>
      <w:proofErr w:type="gramEnd"/>
      <w:r w:rsidR="008B26F2">
        <w:rPr>
          <w:sz w:val="20"/>
        </w:rPr>
        <w:t xml:space="preserve"> normální </w:t>
      </w:r>
      <w:proofErr w:type="spellStart"/>
      <w:r w:rsidR="008B26F2">
        <w:rPr>
          <w:sz w:val="20"/>
        </w:rPr>
        <w:t>Gaussův</w:t>
      </w:r>
      <w:proofErr w:type="spellEnd"/>
      <w:r w:rsidR="008B26F2">
        <w:rPr>
          <w:sz w:val="20"/>
        </w:rPr>
        <w:t xml:space="preserve"> </w:t>
      </w:r>
      <w:proofErr w:type="gramStart"/>
      <w:r w:rsidR="008B26F2">
        <w:rPr>
          <w:sz w:val="20"/>
        </w:rPr>
        <w:t>pík) není</w:t>
      </w:r>
      <w:proofErr w:type="gramEnd"/>
      <w:r w:rsidR="008B26F2">
        <w:rPr>
          <w:sz w:val="20"/>
        </w:rPr>
        <w:t xml:space="preserve"> ovlivněna asymetrií píku.</w:t>
      </w:r>
    </w:p>
    <w:p w:rsidR="008B26F2" w:rsidRDefault="008B26F2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EE3209" w:rsidRDefault="00E12F40" w:rsidP="00562947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 xml:space="preserve">Následují příslušné vzorce pro výpočet rozlišení </w:t>
      </w:r>
      <w:r w:rsidRPr="00E12F40">
        <w:rPr>
          <w:i/>
          <w:sz w:val="20"/>
        </w:rPr>
        <w:t>R</w:t>
      </w:r>
      <w:r>
        <w:rPr>
          <w:sz w:val="20"/>
        </w:rPr>
        <w:t xml:space="preserve"> </w:t>
      </w:r>
      <w:r w:rsidRPr="00E12F40">
        <w:rPr>
          <w:sz w:val="20"/>
        </w:rPr>
        <w:t>a</w:t>
      </w:r>
      <w:r>
        <w:rPr>
          <w:sz w:val="20"/>
        </w:rPr>
        <w:t xml:space="preserve"> počet efektivních teoretických pater </w:t>
      </w:r>
      <w:proofErr w:type="spellStart"/>
      <w:r>
        <w:rPr>
          <w:i/>
          <w:sz w:val="20"/>
        </w:rPr>
        <w:t>N</w:t>
      </w:r>
      <w:r>
        <w:rPr>
          <w:sz w:val="20"/>
          <w:vertAlign w:val="subscript"/>
        </w:rPr>
        <w:t>ef</w:t>
      </w:r>
      <w:proofErr w:type="spellEnd"/>
      <w:r>
        <w:rPr>
          <w:sz w:val="20"/>
          <w:vertAlign w:val="superscript"/>
        </w:rPr>
        <w:t>:</w:t>
      </w:r>
      <w:r>
        <w:rPr>
          <w:sz w:val="20"/>
        </w:rPr>
        <w:t xml:space="preserve"> </w:t>
      </w:r>
    </w:p>
    <w:p w:rsidR="008B26F2" w:rsidRDefault="008B26F2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EE3209" w:rsidRPr="00F34FEA" w:rsidRDefault="00F34FEA" w:rsidP="00E12F4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 w:rsidRPr="00F34FEA">
        <w:rPr>
          <w:position w:val="-32"/>
          <w:sz w:val="20"/>
        </w:rPr>
        <w:object w:dxaOrig="2400" w:dyaOrig="760">
          <v:shape id="_x0000_i1027" type="#_x0000_t75" style="width:120pt;height:38.25pt" o:ole="">
            <v:imagedata r:id="rId11" o:title=""/>
          </v:shape>
          <o:OLEObject Type="Embed" ProgID="Equation.3" ShapeID="_x0000_i1027" DrawAspect="Content" ObjectID="_1612349425" r:id="rId12"/>
        </w:object>
      </w:r>
    </w:p>
    <w:p w:rsidR="008B26F2" w:rsidRDefault="008B26F2" w:rsidP="00E12F4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</w:p>
    <w:p w:rsidR="00697918" w:rsidRDefault="00E12F40" w:rsidP="00E12F4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 w:rsidRPr="00E12F40">
        <w:rPr>
          <w:position w:val="-34"/>
          <w:sz w:val="20"/>
        </w:rPr>
        <w:object w:dxaOrig="2360" w:dyaOrig="840">
          <v:shape id="_x0000_i1028" type="#_x0000_t75" style="width:117.75pt;height:42pt" o:ole="">
            <v:imagedata r:id="rId13" o:title=""/>
          </v:shape>
          <o:OLEObject Type="Embed" ProgID="Equation.3" ShapeID="_x0000_i1028" DrawAspect="Content" ObjectID="_1612349426" r:id="rId14"/>
        </w:object>
      </w:r>
    </w:p>
    <w:p w:rsidR="008B26F2" w:rsidRDefault="008B26F2" w:rsidP="00E12F4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</w:p>
    <w:p w:rsidR="00F34FEA" w:rsidRDefault="00F34FEA" w:rsidP="00EF5695">
      <w:pPr>
        <w:pStyle w:val="Bezmezer"/>
        <w:tabs>
          <w:tab w:val="left" w:pos="900"/>
        </w:tabs>
        <w:spacing w:after="200"/>
        <w:ind w:left="360"/>
        <w:rPr>
          <w:rFonts w:ascii="Times New Roman" w:hAnsi="Times New Roman"/>
          <w:b/>
          <w:bCs/>
          <w:iCs/>
        </w:rPr>
      </w:pPr>
      <w:r>
        <w:rPr>
          <w:sz w:val="20"/>
        </w:rPr>
        <w:br w:type="page"/>
      </w:r>
      <w:r>
        <w:rPr>
          <w:rFonts w:ascii="Times New Roman" w:hAnsi="Times New Roman"/>
          <w:b/>
          <w:bCs/>
          <w:iCs/>
        </w:rPr>
        <w:lastRenderedPageBreak/>
        <w:t>2.</w:t>
      </w:r>
      <w:r>
        <w:rPr>
          <w:rFonts w:ascii="Times New Roman" w:hAnsi="Times New Roman"/>
          <w:b/>
          <w:bCs/>
          <w:iCs/>
        </w:rPr>
        <w:tab/>
        <w:t>Elektromigrační separační metoda - ITP</w:t>
      </w:r>
    </w:p>
    <w:p w:rsidR="00F34FEA" w:rsidRDefault="00F34FEA" w:rsidP="00896EF8">
      <w:pPr>
        <w:spacing w:line="240" w:lineRule="auto"/>
        <w:ind w:left="1661" w:hanging="1304"/>
        <w:rPr>
          <w:sz w:val="20"/>
        </w:rPr>
      </w:pPr>
      <w:r>
        <w:rPr>
          <w:sz w:val="20"/>
        </w:rPr>
        <w:t>Úlohy: č.</w:t>
      </w:r>
      <w:r w:rsidR="009F2010">
        <w:rPr>
          <w:sz w:val="20"/>
        </w:rPr>
        <w:t xml:space="preserve"> </w:t>
      </w:r>
      <w:r>
        <w:rPr>
          <w:sz w:val="20"/>
        </w:rPr>
        <w:t xml:space="preserve">2 – </w:t>
      </w:r>
      <w:r w:rsidR="00896EF8">
        <w:rPr>
          <w:sz w:val="20"/>
        </w:rPr>
        <w:t xml:space="preserve">Stanovení kyseliny </w:t>
      </w:r>
      <w:proofErr w:type="spellStart"/>
      <w:r w:rsidR="00896EF8">
        <w:rPr>
          <w:sz w:val="20"/>
        </w:rPr>
        <w:t>glutamové</w:t>
      </w:r>
      <w:proofErr w:type="spellEnd"/>
      <w:r w:rsidR="00896EF8">
        <w:rPr>
          <w:sz w:val="20"/>
        </w:rPr>
        <w:t xml:space="preserve"> pomocí metod kapilární </w:t>
      </w:r>
      <w:proofErr w:type="spellStart"/>
      <w:r w:rsidR="00896EF8">
        <w:rPr>
          <w:sz w:val="20"/>
        </w:rPr>
        <w:t>izotachoforézy</w:t>
      </w:r>
      <w:proofErr w:type="spellEnd"/>
      <w:r w:rsidR="00896EF8">
        <w:rPr>
          <w:sz w:val="20"/>
        </w:rPr>
        <w:t xml:space="preserve"> a tenkovrstvé chromatografie</w:t>
      </w:r>
    </w:p>
    <w:p w:rsidR="00F34FEA" w:rsidRDefault="00F34FEA" w:rsidP="00F34FEA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E37956" w:rsidRDefault="00E37956" w:rsidP="00F34FEA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10E3D" w:rsidRDefault="00610E3D" w:rsidP="00F34FEA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 xml:space="preserve">Doplnění kvantitativního vyhodnocení </w:t>
      </w:r>
      <w:r>
        <w:rPr>
          <w:i/>
          <w:sz w:val="20"/>
        </w:rPr>
        <w:t>Metodou přídavku standardu</w:t>
      </w:r>
      <w:r>
        <w:rPr>
          <w:sz w:val="20"/>
        </w:rPr>
        <w:t>.</w:t>
      </w:r>
    </w:p>
    <w:p w:rsidR="00610E3D" w:rsidRDefault="00610E3D" w:rsidP="00F34FEA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10E3D" w:rsidRDefault="00B81965" w:rsidP="00F34FEA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Podle počtu přídavků standardu rozlišujeme:</w:t>
      </w:r>
    </w:p>
    <w:p w:rsidR="002E656B" w:rsidRDefault="002E656B" w:rsidP="00F34FEA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2E656B" w:rsidRPr="004F29E3" w:rsidRDefault="00B81965" w:rsidP="005720B5">
      <w:pPr>
        <w:numPr>
          <w:ilvl w:val="0"/>
          <w:numId w:val="3"/>
        </w:numPr>
        <w:tabs>
          <w:tab w:val="left" w:pos="900"/>
        </w:tabs>
        <w:spacing w:line="240" w:lineRule="auto"/>
        <w:rPr>
          <w:b/>
          <w:sz w:val="20"/>
        </w:rPr>
      </w:pPr>
      <w:r w:rsidRPr="004F29E3">
        <w:rPr>
          <w:b/>
          <w:sz w:val="20"/>
        </w:rPr>
        <w:t>Přídavek jednoho standardu ke vzorku, kdy celk</w:t>
      </w:r>
      <w:r w:rsidR="004F29E3">
        <w:rPr>
          <w:b/>
          <w:sz w:val="20"/>
        </w:rPr>
        <w:t>ový objem je či není konstantní</w:t>
      </w:r>
    </w:p>
    <w:p w:rsidR="00B81965" w:rsidRDefault="002E656B" w:rsidP="002E656B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Tyto metody se využívají pro početní výpočet koncentrace neznámého vzorku.</w:t>
      </w:r>
    </w:p>
    <w:p w:rsidR="005720B5" w:rsidRDefault="005720B5" w:rsidP="00B81965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B81965" w:rsidRDefault="005720B5" w:rsidP="00B81965">
      <w:pPr>
        <w:tabs>
          <w:tab w:val="left" w:pos="900"/>
        </w:tabs>
        <w:spacing w:line="240" w:lineRule="auto"/>
        <w:ind w:left="360"/>
        <w:rPr>
          <w:sz w:val="20"/>
        </w:rPr>
      </w:pPr>
      <w:proofErr w:type="spellStart"/>
      <w:r>
        <w:rPr>
          <w:sz w:val="20"/>
        </w:rPr>
        <w:t>aa</w:t>
      </w:r>
      <w:proofErr w:type="spellEnd"/>
      <w:r>
        <w:rPr>
          <w:sz w:val="20"/>
        </w:rPr>
        <w:t>)</w:t>
      </w:r>
      <w:r>
        <w:rPr>
          <w:sz w:val="20"/>
        </w:rPr>
        <w:tab/>
      </w:r>
      <w:r w:rsidR="00B81965">
        <w:rPr>
          <w:sz w:val="20"/>
        </w:rPr>
        <w:t xml:space="preserve">V případě přídavku standardu ke vzorku, kdy celkový objem </w:t>
      </w:r>
      <w:r w:rsidR="00B81965" w:rsidRPr="005720B5">
        <w:rPr>
          <w:b/>
          <w:sz w:val="20"/>
        </w:rPr>
        <w:t>není</w:t>
      </w:r>
      <w:r w:rsidR="00B81965">
        <w:rPr>
          <w:sz w:val="20"/>
        </w:rPr>
        <w:t xml:space="preserve"> konstantní, počítáme koncentraci tohoto vzorku podle rovnice:</w:t>
      </w:r>
    </w:p>
    <w:p w:rsidR="00B81965" w:rsidRDefault="005720B5" w:rsidP="00B81965">
      <w:pPr>
        <w:pStyle w:val="Bezmezer"/>
        <w:ind w:left="357"/>
        <w:jc w:val="center"/>
        <w:rPr>
          <w:rFonts w:ascii="Times New Roman" w:hAnsi="Times New Roman"/>
          <w:sz w:val="20"/>
          <w:szCs w:val="20"/>
        </w:rPr>
      </w:pPr>
      <w:r w:rsidRPr="00B81965">
        <w:rPr>
          <w:rFonts w:ascii="Times New Roman" w:hAnsi="Times New Roman"/>
          <w:position w:val="-60"/>
          <w:sz w:val="20"/>
          <w:szCs w:val="20"/>
        </w:rPr>
        <w:object w:dxaOrig="2600" w:dyaOrig="980">
          <v:shape id="_x0000_i1029" type="#_x0000_t75" style="width:129.75pt;height:48.75pt" o:ole="">
            <v:imagedata r:id="rId15" o:title=""/>
          </v:shape>
          <o:OLEObject Type="Embed" ProgID="Equation.3" ShapeID="_x0000_i1029" DrawAspect="Content" ObjectID="_1612349427" r:id="rId16"/>
        </w:object>
      </w:r>
    </w:p>
    <w:p w:rsidR="005720B5" w:rsidRDefault="005720B5" w:rsidP="00B81965">
      <w:pPr>
        <w:pStyle w:val="Bezmezer"/>
        <w:ind w:left="357"/>
        <w:jc w:val="center"/>
        <w:rPr>
          <w:rFonts w:ascii="Times New Roman" w:hAnsi="Times New Roman"/>
          <w:sz w:val="20"/>
          <w:szCs w:val="20"/>
        </w:rPr>
      </w:pPr>
    </w:p>
    <w:p w:rsidR="005720B5" w:rsidRDefault="005720B5" w:rsidP="00B81965">
      <w:pPr>
        <w:pStyle w:val="Bezmezer"/>
        <w:ind w:left="35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neboli</w:t>
      </w:r>
    </w:p>
    <w:p w:rsidR="005720B5" w:rsidRDefault="005720B5" w:rsidP="00B81965">
      <w:pPr>
        <w:pStyle w:val="Bezmezer"/>
        <w:ind w:left="357"/>
        <w:jc w:val="center"/>
        <w:rPr>
          <w:rFonts w:ascii="Times New Roman" w:hAnsi="Times New Roman"/>
          <w:sz w:val="20"/>
          <w:szCs w:val="20"/>
        </w:rPr>
      </w:pPr>
    </w:p>
    <w:p w:rsidR="005720B5" w:rsidRPr="006F57B3" w:rsidRDefault="009F4A13" w:rsidP="00B81965">
      <w:pPr>
        <w:pStyle w:val="Bezmezer"/>
        <w:ind w:left="357"/>
        <w:jc w:val="center"/>
        <w:rPr>
          <w:rFonts w:ascii="Times New Roman" w:hAnsi="Times New Roman"/>
          <w:sz w:val="20"/>
          <w:szCs w:val="20"/>
        </w:rPr>
      </w:pPr>
      <w:r w:rsidRPr="005720B5">
        <w:rPr>
          <w:rFonts w:ascii="Times New Roman" w:hAnsi="Times New Roman"/>
          <w:position w:val="-30"/>
          <w:sz w:val="20"/>
          <w:szCs w:val="20"/>
        </w:rPr>
        <w:object w:dxaOrig="2640" w:dyaOrig="680">
          <v:shape id="_x0000_i1030" type="#_x0000_t75" style="width:132pt;height:33.75pt" o:ole="">
            <v:imagedata r:id="rId17" o:title=""/>
          </v:shape>
          <o:OLEObject Type="Embed" ProgID="Equation.3" ShapeID="_x0000_i1030" DrawAspect="Content" ObjectID="_1612349428" r:id="rId18"/>
        </w:object>
      </w:r>
    </w:p>
    <w:p w:rsidR="00B81965" w:rsidRPr="006F57B3" w:rsidRDefault="00B81965" w:rsidP="00B81965">
      <w:pPr>
        <w:spacing w:line="240" w:lineRule="auto"/>
        <w:ind w:left="357"/>
        <w:rPr>
          <w:sz w:val="20"/>
          <w:lang w:val="fr-FR"/>
        </w:rPr>
      </w:pPr>
    </w:p>
    <w:p w:rsidR="00B81965" w:rsidRPr="006F57B3" w:rsidRDefault="00B81965" w:rsidP="00B81965">
      <w:pPr>
        <w:tabs>
          <w:tab w:val="left" w:pos="1200"/>
        </w:tabs>
        <w:spacing w:line="240" w:lineRule="auto"/>
        <w:ind w:left="357"/>
        <w:rPr>
          <w:color w:val="000000"/>
          <w:sz w:val="20"/>
          <w:lang w:val="fr-FR"/>
        </w:rPr>
      </w:pPr>
      <w:r w:rsidRPr="006F57B3">
        <w:rPr>
          <w:i/>
          <w:iCs/>
          <w:sz w:val="20"/>
          <w:lang w:val="fr-FR"/>
        </w:rPr>
        <w:t>kde</w:t>
      </w:r>
      <w:r w:rsidRPr="006F57B3">
        <w:rPr>
          <w:sz w:val="20"/>
          <w:lang w:val="fr-FR"/>
        </w:rPr>
        <w:t xml:space="preserve">: </w:t>
      </w:r>
      <w:r w:rsidRPr="006F57B3">
        <w:rPr>
          <w:i/>
          <w:sz w:val="20"/>
          <w:lang w:val="fr-FR"/>
        </w:rPr>
        <w:t>c</w:t>
      </w:r>
      <w:r w:rsidR="00761F8B">
        <w:rPr>
          <w:i/>
          <w:sz w:val="20"/>
          <w:vertAlign w:val="subscript"/>
          <w:lang w:val="fr-FR"/>
        </w:rPr>
        <w:t>i</w:t>
      </w:r>
      <w:r w:rsidRPr="006F57B3">
        <w:rPr>
          <w:sz w:val="20"/>
          <w:lang w:val="fr-FR"/>
        </w:rPr>
        <w:t xml:space="preserve"> je </w:t>
      </w:r>
      <w:r w:rsidRPr="006F57B3">
        <w:rPr>
          <w:color w:val="000000"/>
          <w:sz w:val="20"/>
          <w:lang w:val="fr-FR"/>
        </w:rPr>
        <w:t>koncentrace analytu ve stanovovaném vzorku,</w:t>
      </w:r>
      <w:r w:rsidRPr="006F57B3">
        <w:rPr>
          <w:color w:val="FF0000"/>
          <w:sz w:val="20"/>
          <w:lang w:val="fr-FR"/>
        </w:rPr>
        <w:t xml:space="preserve"> </w:t>
      </w:r>
      <w:r w:rsidRPr="006F57B3">
        <w:rPr>
          <w:i/>
          <w:sz w:val="20"/>
          <w:lang w:val="fr-FR"/>
        </w:rPr>
        <w:t>c</w:t>
      </w:r>
      <w:r w:rsidR="00761F8B">
        <w:rPr>
          <w:i/>
          <w:sz w:val="20"/>
          <w:vertAlign w:val="subscript"/>
          <w:lang w:val="fr-FR"/>
        </w:rPr>
        <w:t>S</w:t>
      </w:r>
      <w:r w:rsidRPr="006F57B3">
        <w:rPr>
          <w:sz w:val="20"/>
          <w:lang w:val="fr-FR"/>
        </w:rPr>
        <w:t xml:space="preserve"> je koncentrace standardu, </w:t>
      </w:r>
      <w:r w:rsidRPr="006F57B3">
        <w:rPr>
          <w:i/>
          <w:sz w:val="20"/>
          <w:lang w:val="fr-FR"/>
        </w:rPr>
        <w:t>V</w:t>
      </w:r>
      <w:r w:rsidRPr="006F57B3">
        <w:rPr>
          <w:i/>
          <w:sz w:val="20"/>
          <w:vertAlign w:val="subscript"/>
          <w:lang w:val="fr-FR"/>
        </w:rPr>
        <w:t>i</w:t>
      </w:r>
      <w:r w:rsidRPr="006F57B3">
        <w:rPr>
          <w:sz w:val="20"/>
          <w:lang w:val="fr-FR"/>
        </w:rPr>
        <w:t xml:space="preserve"> je objem </w:t>
      </w:r>
      <w:r w:rsidRPr="006F57B3">
        <w:rPr>
          <w:color w:val="000000"/>
          <w:sz w:val="20"/>
          <w:lang w:val="fr-FR"/>
        </w:rPr>
        <w:t xml:space="preserve">stanovovaného vzorku, </w:t>
      </w:r>
      <w:r w:rsidRPr="006F57B3">
        <w:rPr>
          <w:i/>
          <w:sz w:val="20"/>
          <w:lang w:val="fr-FR"/>
        </w:rPr>
        <w:t>V</w:t>
      </w:r>
      <w:r w:rsidRPr="006F57B3">
        <w:rPr>
          <w:i/>
          <w:sz w:val="20"/>
          <w:vertAlign w:val="subscript"/>
          <w:lang w:val="fr-FR"/>
        </w:rPr>
        <w:t>S</w:t>
      </w:r>
      <w:r w:rsidRPr="006F57B3">
        <w:rPr>
          <w:sz w:val="20"/>
          <w:lang w:val="fr-FR"/>
        </w:rPr>
        <w:t xml:space="preserve"> je objem přidaného </w:t>
      </w:r>
      <w:r w:rsidRPr="006F57B3">
        <w:rPr>
          <w:color w:val="000000"/>
          <w:sz w:val="20"/>
          <w:lang w:val="fr-FR"/>
        </w:rPr>
        <w:t xml:space="preserve">standardu, </w:t>
      </w:r>
      <w:r w:rsidR="005720B5">
        <w:rPr>
          <w:i/>
          <w:color w:val="000000"/>
          <w:sz w:val="20"/>
          <w:lang w:val="fr-FR"/>
        </w:rPr>
        <w:t>A</w:t>
      </w:r>
      <w:r w:rsidRPr="006F57B3">
        <w:rPr>
          <w:i/>
          <w:sz w:val="20"/>
          <w:vertAlign w:val="subscript"/>
          <w:lang w:val="fr-FR"/>
        </w:rPr>
        <w:t>i</w:t>
      </w:r>
      <w:r w:rsidRPr="006F57B3">
        <w:rPr>
          <w:sz w:val="20"/>
          <w:lang w:val="fr-FR"/>
        </w:rPr>
        <w:t xml:space="preserve"> je hodnota kvantita</w:t>
      </w:r>
      <w:r w:rsidR="005720B5">
        <w:rPr>
          <w:sz w:val="20"/>
          <w:lang w:val="fr-FR"/>
        </w:rPr>
        <w:t>t</w:t>
      </w:r>
      <w:r w:rsidRPr="006F57B3">
        <w:rPr>
          <w:sz w:val="20"/>
          <w:lang w:val="fr-FR"/>
        </w:rPr>
        <w:t xml:space="preserve">ivního parametru </w:t>
      </w:r>
      <w:r w:rsidRPr="006F57B3">
        <w:rPr>
          <w:color w:val="000000"/>
          <w:sz w:val="20"/>
          <w:lang w:val="fr-FR"/>
        </w:rPr>
        <w:t xml:space="preserve">stanovovaného vzorku a </w:t>
      </w:r>
      <w:r w:rsidR="005720B5">
        <w:rPr>
          <w:i/>
          <w:sz w:val="20"/>
          <w:lang w:val="fr-FR"/>
        </w:rPr>
        <w:t>A</w:t>
      </w:r>
      <w:r w:rsidRPr="006F57B3">
        <w:rPr>
          <w:i/>
          <w:sz w:val="20"/>
          <w:vertAlign w:val="subscript"/>
          <w:lang w:val="fr-FR"/>
        </w:rPr>
        <w:t>i</w:t>
      </w:r>
      <w:r w:rsidR="005720B5">
        <w:rPr>
          <w:i/>
          <w:sz w:val="20"/>
          <w:vertAlign w:val="subscript"/>
          <w:lang w:val="fr-FR"/>
        </w:rPr>
        <w:t>+</w:t>
      </w:r>
      <w:r w:rsidRPr="006F57B3">
        <w:rPr>
          <w:i/>
          <w:sz w:val="20"/>
          <w:vertAlign w:val="subscript"/>
          <w:lang w:val="fr-FR"/>
        </w:rPr>
        <w:t>S</w:t>
      </w:r>
      <w:r w:rsidRPr="006F57B3">
        <w:rPr>
          <w:sz w:val="20"/>
          <w:lang w:val="fr-FR"/>
        </w:rPr>
        <w:t xml:space="preserve"> je hodnota kvantita</w:t>
      </w:r>
      <w:r w:rsidR="005720B5">
        <w:rPr>
          <w:sz w:val="20"/>
          <w:lang w:val="fr-FR"/>
        </w:rPr>
        <w:t>t</w:t>
      </w:r>
      <w:r w:rsidRPr="006F57B3">
        <w:rPr>
          <w:sz w:val="20"/>
          <w:lang w:val="fr-FR"/>
        </w:rPr>
        <w:t>ivního parametru obohaceného vzorku (neznámý vzorek a přídavek standardu)</w:t>
      </w:r>
      <w:r w:rsidRPr="006F57B3">
        <w:rPr>
          <w:color w:val="000000"/>
          <w:sz w:val="20"/>
          <w:lang w:val="fr-FR"/>
        </w:rPr>
        <w:t>.</w:t>
      </w:r>
    </w:p>
    <w:p w:rsidR="00B81965" w:rsidRPr="00B81965" w:rsidRDefault="00B81965" w:rsidP="00B81965">
      <w:pPr>
        <w:tabs>
          <w:tab w:val="left" w:pos="900"/>
        </w:tabs>
        <w:spacing w:line="240" w:lineRule="auto"/>
        <w:ind w:left="360"/>
        <w:rPr>
          <w:sz w:val="20"/>
          <w:lang w:val="fr-FR"/>
        </w:rPr>
      </w:pPr>
    </w:p>
    <w:p w:rsidR="00B81965" w:rsidRDefault="00B81965" w:rsidP="00B81965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Algoritmus měření:</w:t>
      </w:r>
    </w:p>
    <w:p w:rsidR="00B81965" w:rsidRDefault="00B81965" w:rsidP="005720B5">
      <w:pPr>
        <w:numPr>
          <w:ilvl w:val="0"/>
          <w:numId w:val="4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 xml:space="preserve">měření signálu </w:t>
      </w:r>
      <w:proofErr w:type="spellStart"/>
      <w:r>
        <w:rPr>
          <w:i/>
          <w:sz w:val="20"/>
        </w:rPr>
        <w:t>A</w:t>
      </w:r>
      <w:r>
        <w:rPr>
          <w:sz w:val="20"/>
          <w:vertAlign w:val="subscript"/>
        </w:rPr>
        <w:t>i</w:t>
      </w:r>
      <w:proofErr w:type="spellEnd"/>
      <w:r>
        <w:rPr>
          <w:sz w:val="20"/>
        </w:rPr>
        <w:t xml:space="preserve"> ve vzorku o objemu </w:t>
      </w:r>
      <w:proofErr w:type="spellStart"/>
      <w:r>
        <w:rPr>
          <w:i/>
          <w:sz w:val="20"/>
        </w:rPr>
        <w:t>V</w:t>
      </w:r>
      <w:r>
        <w:rPr>
          <w:sz w:val="20"/>
          <w:vertAlign w:val="subscript"/>
        </w:rPr>
        <w:t>i</w:t>
      </w:r>
      <w:proofErr w:type="spellEnd"/>
    </w:p>
    <w:p w:rsidR="00B81965" w:rsidRDefault="00B81965" w:rsidP="00B81965">
      <w:pPr>
        <w:numPr>
          <w:ilvl w:val="0"/>
          <w:numId w:val="4"/>
        </w:numPr>
        <w:spacing w:line="240" w:lineRule="auto"/>
        <w:rPr>
          <w:sz w:val="20"/>
        </w:rPr>
      </w:pPr>
      <w:r>
        <w:rPr>
          <w:sz w:val="20"/>
        </w:rPr>
        <w:t xml:space="preserve">přídavek </w:t>
      </w:r>
      <w:proofErr w:type="spellStart"/>
      <w:r>
        <w:rPr>
          <w:i/>
          <w:sz w:val="20"/>
        </w:rPr>
        <w:t>V</w:t>
      </w:r>
      <w:r>
        <w:rPr>
          <w:sz w:val="20"/>
          <w:vertAlign w:val="subscript"/>
        </w:rPr>
        <w:t>s</w:t>
      </w:r>
      <w:proofErr w:type="spellEnd"/>
      <w:r>
        <w:rPr>
          <w:sz w:val="20"/>
        </w:rPr>
        <w:t xml:space="preserve"> standardu o koncentraci </w:t>
      </w:r>
      <w:proofErr w:type="spellStart"/>
      <w:r>
        <w:rPr>
          <w:i/>
          <w:sz w:val="20"/>
        </w:rPr>
        <w:t>c</w:t>
      </w:r>
      <w:r>
        <w:rPr>
          <w:sz w:val="20"/>
          <w:vertAlign w:val="subscript"/>
        </w:rPr>
        <w:t>s</w:t>
      </w:r>
      <w:proofErr w:type="spellEnd"/>
      <w:r>
        <w:rPr>
          <w:sz w:val="20"/>
        </w:rPr>
        <w:t xml:space="preserve"> ke vzorku o objemu </w:t>
      </w:r>
      <w:proofErr w:type="spellStart"/>
      <w:r>
        <w:rPr>
          <w:i/>
          <w:sz w:val="20"/>
        </w:rPr>
        <w:t>V</w:t>
      </w:r>
      <w:r>
        <w:rPr>
          <w:sz w:val="20"/>
          <w:vertAlign w:val="subscript"/>
        </w:rPr>
        <w:t>i</w:t>
      </w:r>
      <w:proofErr w:type="spellEnd"/>
    </w:p>
    <w:p w:rsidR="00B81965" w:rsidRPr="00B81965" w:rsidRDefault="00B81965" w:rsidP="00B81965">
      <w:pPr>
        <w:numPr>
          <w:ilvl w:val="0"/>
          <w:numId w:val="4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 xml:space="preserve">měření signálu </w:t>
      </w:r>
      <w:proofErr w:type="spellStart"/>
      <w:r>
        <w:rPr>
          <w:i/>
          <w:sz w:val="20"/>
        </w:rPr>
        <w:t>A</w:t>
      </w:r>
      <w:r>
        <w:rPr>
          <w:sz w:val="20"/>
          <w:vertAlign w:val="subscript"/>
        </w:rPr>
        <w:t>i</w:t>
      </w:r>
      <w:proofErr w:type="spellEnd"/>
      <w:r>
        <w:rPr>
          <w:sz w:val="20"/>
          <w:vertAlign w:val="subscript"/>
        </w:rPr>
        <w:t>+s</w:t>
      </w:r>
    </w:p>
    <w:p w:rsidR="00B81965" w:rsidRDefault="00B81965" w:rsidP="00B81965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B81965" w:rsidRDefault="005720B5" w:rsidP="00B81965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ab)</w:t>
      </w:r>
      <w:r>
        <w:rPr>
          <w:sz w:val="20"/>
        </w:rPr>
        <w:tab/>
      </w:r>
      <w:r w:rsidR="00B81965">
        <w:rPr>
          <w:sz w:val="20"/>
        </w:rPr>
        <w:t xml:space="preserve">Je-li přídavek standardu ke vzorku a celkový objem </w:t>
      </w:r>
      <w:r w:rsidR="00B81965" w:rsidRPr="005720B5">
        <w:rPr>
          <w:b/>
          <w:sz w:val="20"/>
        </w:rPr>
        <w:t>je</w:t>
      </w:r>
      <w:r w:rsidR="00B81965">
        <w:rPr>
          <w:sz w:val="20"/>
        </w:rPr>
        <w:t xml:space="preserve"> konstantní (vzorku i vzorku s přídavkem), počítáme koncentraci vzorku podle rovnice:</w:t>
      </w:r>
    </w:p>
    <w:p w:rsidR="005720B5" w:rsidRDefault="005720B5" w:rsidP="00B81965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5720B5" w:rsidRDefault="003856E0" w:rsidP="00301BC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 w:rsidRPr="005720B5">
        <w:rPr>
          <w:position w:val="-30"/>
          <w:sz w:val="20"/>
        </w:rPr>
        <w:object w:dxaOrig="1860" w:dyaOrig="680">
          <v:shape id="_x0000_i1031" type="#_x0000_t75" style="width:93pt;height:33.75pt" o:ole="">
            <v:imagedata r:id="rId19" o:title=""/>
          </v:shape>
          <o:OLEObject Type="Embed" ProgID="Equation.3" ShapeID="_x0000_i1031" DrawAspect="Content" ObjectID="_1612349429" r:id="rId20"/>
        </w:object>
      </w:r>
    </w:p>
    <w:p w:rsidR="009F4A13" w:rsidRDefault="009F4A13" w:rsidP="00301BC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</w:p>
    <w:p w:rsidR="009F4A13" w:rsidRDefault="003856E0" w:rsidP="00301BC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 w:rsidRPr="00215324">
        <w:rPr>
          <w:position w:val="-32"/>
          <w:sz w:val="20"/>
        </w:rPr>
        <w:object w:dxaOrig="3820" w:dyaOrig="760">
          <v:shape id="_x0000_i1032" type="#_x0000_t75" style="width:191.25pt;height:38.25pt" o:ole="">
            <v:imagedata r:id="rId21" o:title=""/>
          </v:shape>
          <o:OLEObject Type="Embed" ProgID="Equation.3" ShapeID="_x0000_i1032" DrawAspect="Content" ObjectID="_1612349430" r:id="rId22"/>
        </w:object>
      </w:r>
    </w:p>
    <w:p w:rsidR="00B2131A" w:rsidRDefault="00B2131A" w:rsidP="00301BC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</w:p>
    <w:p w:rsidR="00B2131A" w:rsidRDefault="00B2131A" w:rsidP="00B2131A">
      <w:pPr>
        <w:tabs>
          <w:tab w:val="left" w:pos="1200"/>
        </w:tabs>
        <w:spacing w:line="240" w:lineRule="auto"/>
        <w:ind w:left="357"/>
        <w:rPr>
          <w:sz w:val="20"/>
          <w:lang w:val="fr-FR"/>
        </w:rPr>
      </w:pPr>
      <w:r w:rsidRPr="006F57B3">
        <w:rPr>
          <w:i/>
          <w:iCs/>
          <w:sz w:val="20"/>
          <w:lang w:val="fr-FR"/>
        </w:rPr>
        <w:t>kde</w:t>
      </w:r>
      <w:r w:rsidRPr="006F57B3">
        <w:rPr>
          <w:sz w:val="20"/>
          <w:lang w:val="fr-FR"/>
        </w:rPr>
        <w:t xml:space="preserve">: </w:t>
      </w:r>
      <w:r w:rsidRPr="006F57B3">
        <w:rPr>
          <w:i/>
          <w:sz w:val="20"/>
          <w:lang w:val="fr-FR"/>
        </w:rPr>
        <w:t>c</w:t>
      </w:r>
      <w:r w:rsidR="00761F8B">
        <w:rPr>
          <w:i/>
          <w:sz w:val="20"/>
          <w:vertAlign w:val="subscript"/>
          <w:lang w:val="fr-FR"/>
        </w:rPr>
        <w:t>i</w:t>
      </w:r>
      <w:r w:rsidRPr="006F57B3">
        <w:rPr>
          <w:sz w:val="20"/>
          <w:lang w:val="fr-FR"/>
        </w:rPr>
        <w:t xml:space="preserve"> je </w:t>
      </w:r>
      <w:r w:rsidRPr="006F57B3">
        <w:rPr>
          <w:color w:val="000000"/>
          <w:sz w:val="20"/>
          <w:lang w:val="fr-FR"/>
        </w:rPr>
        <w:t>koncentrace analytu ve stanovovaném vzorku,</w:t>
      </w:r>
      <w:r w:rsidRPr="006F57B3">
        <w:rPr>
          <w:color w:val="FF0000"/>
          <w:sz w:val="20"/>
          <w:lang w:val="fr-FR"/>
        </w:rPr>
        <w:t xml:space="preserve"> </w:t>
      </w:r>
      <w:r w:rsidRPr="006F57B3">
        <w:rPr>
          <w:i/>
          <w:sz w:val="20"/>
          <w:lang w:val="fr-FR"/>
        </w:rPr>
        <w:t>c</w:t>
      </w:r>
      <w:r w:rsidR="00761F8B">
        <w:rPr>
          <w:i/>
          <w:sz w:val="20"/>
          <w:vertAlign w:val="subscript"/>
          <w:lang w:val="fr-FR"/>
        </w:rPr>
        <w:t>S</w:t>
      </w:r>
      <w:r w:rsidRPr="006F57B3">
        <w:rPr>
          <w:sz w:val="20"/>
          <w:lang w:val="fr-FR"/>
        </w:rPr>
        <w:t xml:space="preserve"> je koncentrace </w:t>
      </w:r>
      <w:r w:rsidR="009F4A13">
        <w:rPr>
          <w:sz w:val="20"/>
          <w:lang w:val="fr-FR"/>
        </w:rPr>
        <w:t xml:space="preserve">původního </w:t>
      </w:r>
      <w:r w:rsidRPr="006F57B3">
        <w:rPr>
          <w:sz w:val="20"/>
          <w:lang w:val="fr-FR"/>
        </w:rPr>
        <w:t>standardu</w:t>
      </w:r>
      <w:r w:rsidR="0070449F">
        <w:rPr>
          <w:sz w:val="20"/>
          <w:lang w:val="fr-FR"/>
        </w:rPr>
        <w:t xml:space="preserve"> (né po naředění do výsledného objemu)</w:t>
      </w:r>
      <w:r w:rsidRPr="006F57B3">
        <w:rPr>
          <w:sz w:val="20"/>
          <w:lang w:val="fr-FR"/>
        </w:rPr>
        <w:t xml:space="preserve">, </w:t>
      </w:r>
      <w:r w:rsidRPr="006F57B3">
        <w:rPr>
          <w:i/>
          <w:sz w:val="20"/>
          <w:lang w:val="fr-FR"/>
        </w:rPr>
        <w:t>V</w:t>
      </w:r>
      <w:r w:rsidRPr="006F57B3">
        <w:rPr>
          <w:i/>
          <w:sz w:val="20"/>
          <w:vertAlign w:val="subscript"/>
          <w:lang w:val="fr-FR"/>
        </w:rPr>
        <w:t>i</w:t>
      </w:r>
      <w:r w:rsidRPr="006F57B3">
        <w:rPr>
          <w:sz w:val="20"/>
          <w:lang w:val="fr-FR"/>
        </w:rPr>
        <w:t xml:space="preserve"> je objem </w:t>
      </w:r>
      <w:r w:rsidRPr="006F57B3">
        <w:rPr>
          <w:color w:val="000000"/>
          <w:sz w:val="20"/>
          <w:lang w:val="fr-FR"/>
        </w:rPr>
        <w:t xml:space="preserve">stanovovaného vzorku, </w:t>
      </w:r>
      <w:r w:rsidRPr="006F57B3">
        <w:rPr>
          <w:i/>
          <w:sz w:val="20"/>
          <w:lang w:val="fr-FR"/>
        </w:rPr>
        <w:t>V</w:t>
      </w:r>
      <w:r w:rsidRPr="006F57B3">
        <w:rPr>
          <w:i/>
          <w:sz w:val="20"/>
          <w:vertAlign w:val="subscript"/>
          <w:lang w:val="fr-FR"/>
        </w:rPr>
        <w:t>S</w:t>
      </w:r>
      <w:r w:rsidRPr="006F57B3">
        <w:rPr>
          <w:sz w:val="20"/>
          <w:lang w:val="fr-FR"/>
        </w:rPr>
        <w:t xml:space="preserve"> je objem přidaného </w:t>
      </w:r>
      <w:r w:rsidRPr="006F57B3">
        <w:rPr>
          <w:color w:val="000000"/>
          <w:sz w:val="20"/>
          <w:lang w:val="fr-FR"/>
        </w:rPr>
        <w:t>standardu,</w:t>
      </w:r>
      <w:r w:rsidR="009F4A13">
        <w:rPr>
          <w:color w:val="000000"/>
          <w:sz w:val="20"/>
          <w:lang w:val="fr-FR"/>
        </w:rPr>
        <w:t xml:space="preserve"> </w:t>
      </w:r>
      <w:r w:rsidR="009F4A13" w:rsidRPr="006F57B3">
        <w:rPr>
          <w:i/>
          <w:sz w:val="20"/>
          <w:lang w:val="fr-FR"/>
        </w:rPr>
        <w:t>V</w:t>
      </w:r>
      <w:r w:rsidR="009F4A13">
        <w:rPr>
          <w:i/>
          <w:sz w:val="20"/>
          <w:vertAlign w:val="subscript"/>
          <w:lang w:val="fr-FR"/>
        </w:rPr>
        <w:t>R</w:t>
      </w:r>
      <w:r w:rsidR="009F4A13" w:rsidRPr="006F57B3">
        <w:rPr>
          <w:sz w:val="20"/>
          <w:lang w:val="fr-FR"/>
        </w:rPr>
        <w:t xml:space="preserve"> je objem </w:t>
      </w:r>
      <w:r w:rsidR="009F4A13">
        <w:rPr>
          <w:sz w:val="20"/>
          <w:lang w:val="fr-FR"/>
        </w:rPr>
        <w:t>celého připraveného roztoku</w:t>
      </w:r>
      <w:r w:rsidR="0070449F">
        <w:rPr>
          <w:sz w:val="20"/>
          <w:lang w:val="fr-FR"/>
        </w:rPr>
        <w:t xml:space="preserve"> (</w:t>
      </w:r>
      <w:r w:rsidR="0070449F" w:rsidRPr="006F57B3">
        <w:rPr>
          <w:i/>
          <w:sz w:val="20"/>
          <w:lang w:val="fr-FR"/>
        </w:rPr>
        <w:t>V</w:t>
      </w:r>
      <w:r w:rsidR="0070449F" w:rsidRPr="006F57B3">
        <w:rPr>
          <w:i/>
          <w:sz w:val="20"/>
          <w:vertAlign w:val="subscript"/>
          <w:lang w:val="fr-FR"/>
        </w:rPr>
        <w:t>i</w:t>
      </w:r>
      <w:r w:rsidR="0070449F">
        <w:rPr>
          <w:sz w:val="20"/>
          <w:lang w:val="fr-FR"/>
        </w:rPr>
        <w:t xml:space="preserve"> + </w:t>
      </w:r>
      <w:r w:rsidR="0070449F" w:rsidRPr="006F57B3">
        <w:rPr>
          <w:i/>
          <w:sz w:val="20"/>
          <w:lang w:val="fr-FR"/>
        </w:rPr>
        <w:t>V</w:t>
      </w:r>
      <w:r w:rsidR="0070449F">
        <w:rPr>
          <w:i/>
          <w:sz w:val="20"/>
          <w:vertAlign w:val="subscript"/>
          <w:lang w:val="fr-FR"/>
        </w:rPr>
        <w:t>S</w:t>
      </w:r>
      <w:r w:rsidR="0070449F">
        <w:rPr>
          <w:sz w:val="20"/>
          <w:lang w:val="fr-FR"/>
        </w:rPr>
        <w:t xml:space="preserve"> + rozpouštědlo)</w:t>
      </w:r>
      <w:r w:rsidR="009F4A13">
        <w:rPr>
          <w:sz w:val="20"/>
          <w:lang w:val="fr-FR"/>
        </w:rPr>
        <w:t>,</w:t>
      </w:r>
      <w:r w:rsidRPr="006F57B3">
        <w:rPr>
          <w:color w:val="000000"/>
          <w:sz w:val="20"/>
          <w:lang w:val="fr-FR"/>
        </w:rPr>
        <w:t xml:space="preserve"> </w:t>
      </w:r>
      <w:r w:rsidR="009F4A13">
        <w:rPr>
          <w:i/>
          <w:color w:val="000000"/>
          <w:sz w:val="20"/>
          <w:lang w:val="fr-FR"/>
        </w:rPr>
        <w:t>A</w:t>
      </w:r>
      <w:r w:rsidR="009F4A13" w:rsidRPr="006F57B3">
        <w:rPr>
          <w:i/>
          <w:sz w:val="20"/>
          <w:vertAlign w:val="subscript"/>
          <w:lang w:val="fr-FR"/>
        </w:rPr>
        <w:t>i</w:t>
      </w:r>
      <w:r w:rsidR="009F4A13">
        <w:rPr>
          <w:i/>
          <w:color w:val="000000"/>
          <w:sz w:val="20"/>
          <w:lang w:val="fr-FR"/>
        </w:rPr>
        <w:t xml:space="preserve"> </w:t>
      </w:r>
      <w:r w:rsidR="009F4A13">
        <w:rPr>
          <w:color w:val="000000"/>
          <w:sz w:val="20"/>
          <w:lang w:val="fr-FR"/>
        </w:rPr>
        <w:t xml:space="preserve">a </w:t>
      </w:r>
      <w:r>
        <w:rPr>
          <w:i/>
          <w:color w:val="000000"/>
          <w:sz w:val="20"/>
          <w:lang w:val="fr-FR"/>
        </w:rPr>
        <w:t>A</w:t>
      </w:r>
      <w:r w:rsidRPr="006F57B3">
        <w:rPr>
          <w:i/>
          <w:sz w:val="20"/>
          <w:vertAlign w:val="subscript"/>
          <w:lang w:val="fr-FR"/>
        </w:rPr>
        <w:t>i</w:t>
      </w:r>
      <w:r w:rsidR="009F4A13">
        <w:rPr>
          <w:i/>
          <w:sz w:val="20"/>
          <w:vertAlign w:val="superscript"/>
          <w:lang w:val="fr-FR"/>
        </w:rPr>
        <w:t>´</w:t>
      </w:r>
      <w:r w:rsidRPr="006F57B3">
        <w:rPr>
          <w:sz w:val="20"/>
          <w:lang w:val="fr-FR"/>
        </w:rPr>
        <w:t xml:space="preserve"> je </w:t>
      </w:r>
      <w:r w:rsidR="009F4A13">
        <w:rPr>
          <w:sz w:val="20"/>
          <w:lang w:val="fr-FR"/>
        </w:rPr>
        <w:t>hodnota a korigovaná</w:t>
      </w:r>
      <w:r w:rsidR="009F4A13" w:rsidRPr="006F57B3">
        <w:rPr>
          <w:sz w:val="20"/>
          <w:lang w:val="fr-FR"/>
        </w:rPr>
        <w:t xml:space="preserve"> </w:t>
      </w:r>
      <w:r w:rsidRPr="006F57B3">
        <w:rPr>
          <w:sz w:val="20"/>
          <w:lang w:val="fr-FR"/>
        </w:rPr>
        <w:t>hodnota kvantita</w:t>
      </w:r>
      <w:r>
        <w:rPr>
          <w:sz w:val="20"/>
          <w:lang w:val="fr-FR"/>
        </w:rPr>
        <w:t>t</w:t>
      </w:r>
      <w:r w:rsidRPr="006F57B3">
        <w:rPr>
          <w:sz w:val="20"/>
          <w:lang w:val="fr-FR"/>
        </w:rPr>
        <w:t xml:space="preserve">ivního parametru </w:t>
      </w:r>
      <w:r w:rsidRPr="006F57B3">
        <w:rPr>
          <w:color w:val="000000"/>
          <w:sz w:val="20"/>
          <w:lang w:val="fr-FR"/>
        </w:rPr>
        <w:t>stanovovaného vzorku</w:t>
      </w:r>
      <w:r w:rsidR="009F4A13">
        <w:rPr>
          <w:color w:val="000000"/>
          <w:sz w:val="20"/>
          <w:lang w:val="fr-FR"/>
        </w:rPr>
        <w:t xml:space="preserve"> na objem, </w:t>
      </w:r>
      <w:r w:rsidR="009F4A13">
        <w:rPr>
          <w:i/>
          <w:sz w:val="20"/>
          <w:lang w:val="fr-FR"/>
        </w:rPr>
        <w:t>A</w:t>
      </w:r>
      <w:r w:rsidR="009F4A13" w:rsidRPr="006F57B3">
        <w:rPr>
          <w:i/>
          <w:sz w:val="20"/>
          <w:vertAlign w:val="subscript"/>
          <w:lang w:val="fr-FR"/>
        </w:rPr>
        <w:t>i</w:t>
      </w:r>
      <w:r w:rsidR="009F4A13">
        <w:rPr>
          <w:i/>
          <w:sz w:val="20"/>
          <w:vertAlign w:val="subscript"/>
          <w:lang w:val="fr-FR"/>
        </w:rPr>
        <w:t>+</w:t>
      </w:r>
      <w:r w:rsidR="009F4A13" w:rsidRPr="006F57B3">
        <w:rPr>
          <w:i/>
          <w:sz w:val="20"/>
          <w:vertAlign w:val="subscript"/>
          <w:lang w:val="fr-FR"/>
        </w:rPr>
        <w:t>S</w:t>
      </w:r>
      <w:r w:rsidR="009F4A13">
        <w:rPr>
          <w:color w:val="000000"/>
          <w:sz w:val="20"/>
          <w:lang w:val="fr-FR"/>
        </w:rPr>
        <w:t xml:space="preserve"> a</w:t>
      </w:r>
      <w:r w:rsidRPr="006F57B3">
        <w:rPr>
          <w:color w:val="000000"/>
          <w:sz w:val="20"/>
          <w:lang w:val="fr-FR"/>
        </w:rPr>
        <w:t xml:space="preserve"> </w:t>
      </w:r>
      <w:r>
        <w:rPr>
          <w:i/>
          <w:sz w:val="20"/>
          <w:lang w:val="fr-FR"/>
        </w:rPr>
        <w:t>A</w:t>
      </w:r>
      <w:r w:rsidRPr="006F57B3">
        <w:rPr>
          <w:i/>
          <w:sz w:val="20"/>
          <w:vertAlign w:val="subscript"/>
          <w:lang w:val="fr-FR"/>
        </w:rPr>
        <w:t>i</w:t>
      </w:r>
      <w:r>
        <w:rPr>
          <w:i/>
          <w:sz w:val="20"/>
          <w:vertAlign w:val="subscript"/>
          <w:lang w:val="fr-FR"/>
        </w:rPr>
        <w:t>+</w:t>
      </w:r>
      <w:r w:rsidRPr="006F57B3">
        <w:rPr>
          <w:i/>
          <w:sz w:val="20"/>
          <w:vertAlign w:val="subscript"/>
          <w:lang w:val="fr-FR"/>
        </w:rPr>
        <w:t>S</w:t>
      </w:r>
      <w:r w:rsidR="009F4A13">
        <w:rPr>
          <w:i/>
          <w:sz w:val="20"/>
          <w:vertAlign w:val="superscript"/>
          <w:lang w:val="fr-FR"/>
        </w:rPr>
        <w:t>´</w:t>
      </w:r>
      <w:r w:rsidRPr="006F57B3">
        <w:rPr>
          <w:sz w:val="20"/>
          <w:lang w:val="fr-FR"/>
        </w:rPr>
        <w:t xml:space="preserve"> je </w:t>
      </w:r>
      <w:r w:rsidR="009F4A13">
        <w:rPr>
          <w:sz w:val="20"/>
          <w:lang w:val="fr-FR"/>
        </w:rPr>
        <w:t>hodnota a korigovaná</w:t>
      </w:r>
      <w:r w:rsidR="009F4A13" w:rsidRPr="006F57B3">
        <w:rPr>
          <w:sz w:val="20"/>
          <w:lang w:val="fr-FR"/>
        </w:rPr>
        <w:t xml:space="preserve"> </w:t>
      </w:r>
      <w:r w:rsidRPr="006F57B3">
        <w:rPr>
          <w:sz w:val="20"/>
          <w:lang w:val="fr-FR"/>
        </w:rPr>
        <w:t>hodnota</w:t>
      </w:r>
      <w:r w:rsidR="009F4A13">
        <w:rPr>
          <w:sz w:val="20"/>
          <w:lang w:val="fr-FR"/>
        </w:rPr>
        <w:t xml:space="preserve"> </w:t>
      </w:r>
      <w:r w:rsidRPr="006F57B3">
        <w:rPr>
          <w:sz w:val="20"/>
          <w:lang w:val="fr-FR"/>
        </w:rPr>
        <w:t>kvantita</w:t>
      </w:r>
      <w:r>
        <w:rPr>
          <w:sz w:val="20"/>
          <w:lang w:val="fr-FR"/>
        </w:rPr>
        <w:t>t</w:t>
      </w:r>
      <w:r w:rsidRPr="006F57B3">
        <w:rPr>
          <w:sz w:val="20"/>
          <w:lang w:val="fr-FR"/>
        </w:rPr>
        <w:t>ivního parametru obohaceného vzorku (neznámý vzorek a přídavek standardu)</w:t>
      </w:r>
      <w:r w:rsidR="009F4A13">
        <w:rPr>
          <w:sz w:val="20"/>
          <w:lang w:val="fr-FR"/>
        </w:rPr>
        <w:t xml:space="preserve"> na objem</w:t>
      </w:r>
      <w:r w:rsidR="00215324">
        <w:rPr>
          <w:sz w:val="20"/>
          <w:lang w:val="fr-FR"/>
        </w:rPr>
        <w:t>.</w:t>
      </w:r>
    </w:p>
    <w:p w:rsidR="0070449F" w:rsidRDefault="0070449F" w:rsidP="00B2131A">
      <w:pPr>
        <w:tabs>
          <w:tab w:val="left" w:pos="1200"/>
        </w:tabs>
        <w:spacing w:line="240" w:lineRule="auto"/>
        <w:ind w:left="357"/>
        <w:rPr>
          <w:iCs/>
          <w:sz w:val="20"/>
          <w:lang w:val="fr-FR"/>
        </w:rPr>
      </w:pPr>
      <w:r>
        <w:rPr>
          <w:iCs/>
          <w:sz w:val="20"/>
          <w:lang w:val="fr-FR"/>
        </w:rPr>
        <w:t>U t</w:t>
      </w:r>
      <w:r w:rsidRPr="0070449F">
        <w:rPr>
          <w:iCs/>
          <w:sz w:val="20"/>
          <w:lang w:val="fr-FR"/>
        </w:rPr>
        <w:t>akto vypočten</w:t>
      </w:r>
      <w:r>
        <w:rPr>
          <w:iCs/>
          <w:sz w:val="20"/>
          <w:lang w:val="fr-FR"/>
        </w:rPr>
        <w:t>é</w:t>
      </w:r>
      <w:r w:rsidRPr="0070449F">
        <w:rPr>
          <w:iCs/>
          <w:sz w:val="20"/>
          <w:lang w:val="fr-FR"/>
        </w:rPr>
        <w:t xml:space="preserve"> koncentrace se již</w:t>
      </w:r>
      <w:r>
        <w:rPr>
          <w:iCs/>
          <w:sz w:val="20"/>
          <w:lang w:val="fr-FR"/>
        </w:rPr>
        <w:t xml:space="preserve"> do výpočtu nezohledňuje použité ředění vzorku.</w:t>
      </w:r>
    </w:p>
    <w:p w:rsidR="00761F8B" w:rsidRPr="0070449F" w:rsidRDefault="00761F8B" w:rsidP="00B2131A">
      <w:pPr>
        <w:tabs>
          <w:tab w:val="left" w:pos="1200"/>
        </w:tabs>
        <w:spacing w:line="240" w:lineRule="auto"/>
        <w:ind w:left="357"/>
        <w:rPr>
          <w:color w:val="000000"/>
          <w:sz w:val="20"/>
          <w:lang w:val="fr-FR"/>
        </w:rPr>
      </w:pPr>
    </w:p>
    <w:p w:rsidR="00B2131A" w:rsidRDefault="00B2131A" w:rsidP="00301BC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</w:p>
    <w:p w:rsidR="00F776E8" w:rsidRPr="004F29E3" w:rsidRDefault="00E37956" w:rsidP="00F776E8">
      <w:pPr>
        <w:numPr>
          <w:ilvl w:val="0"/>
          <w:numId w:val="3"/>
        </w:numPr>
        <w:tabs>
          <w:tab w:val="left" w:pos="900"/>
        </w:tabs>
        <w:spacing w:line="240" w:lineRule="auto"/>
        <w:rPr>
          <w:b/>
          <w:sz w:val="20"/>
        </w:rPr>
      </w:pPr>
      <w:r>
        <w:rPr>
          <w:sz w:val="20"/>
        </w:rPr>
        <w:br w:type="page"/>
      </w:r>
      <w:r w:rsidR="00F776E8" w:rsidRPr="004F29E3">
        <w:rPr>
          <w:b/>
          <w:sz w:val="20"/>
        </w:rPr>
        <w:lastRenderedPageBreak/>
        <w:t>Přídavek více standardů ke vzorku – zpracovaní lineární regresí</w:t>
      </w:r>
    </w:p>
    <w:p w:rsidR="00F776E8" w:rsidRDefault="00F776E8" w:rsidP="00F776E8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F776E8" w:rsidRDefault="00F776E8" w:rsidP="00F776E8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Algoritmus měření:</w:t>
      </w:r>
    </w:p>
    <w:p w:rsidR="00F776E8" w:rsidRDefault="00F776E8" w:rsidP="00F776E8">
      <w:pPr>
        <w:numPr>
          <w:ilvl w:val="0"/>
          <w:numId w:val="15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 xml:space="preserve">odměření objemu vzorku </w:t>
      </w:r>
      <w:r>
        <w:rPr>
          <w:i/>
          <w:sz w:val="20"/>
        </w:rPr>
        <w:t>V</w:t>
      </w:r>
      <w:r w:rsidR="0052683F">
        <w:rPr>
          <w:sz w:val="20"/>
          <w:vertAlign w:val="subscript"/>
        </w:rPr>
        <w:t>(i)</w:t>
      </w:r>
      <w:r>
        <w:rPr>
          <w:sz w:val="20"/>
        </w:rPr>
        <w:t xml:space="preserve"> do </w:t>
      </w:r>
      <w:r w:rsidR="00761F8B">
        <w:rPr>
          <w:sz w:val="20"/>
        </w:rPr>
        <w:t>(i)</w:t>
      </w:r>
      <w:r>
        <w:rPr>
          <w:sz w:val="20"/>
        </w:rPr>
        <w:t xml:space="preserve"> odměrných baněk</w:t>
      </w:r>
    </w:p>
    <w:p w:rsidR="00F776E8" w:rsidRDefault="00F776E8" w:rsidP="00F776E8">
      <w:pPr>
        <w:numPr>
          <w:ilvl w:val="0"/>
          <w:numId w:val="15"/>
        </w:numPr>
        <w:spacing w:line="240" w:lineRule="auto"/>
        <w:rPr>
          <w:sz w:val="20"/>
        </w:rPr>
      </w:pPr>
      <w:r>
        <w:rPr>
          <w:sz w:val="20"/>
        </w:rPr>
        <w:t xml:space="preserve">přídavek </w:t>
      </w:r>
      <w:r>
        <w:rPr>
          <w:i/>
          <w:sz w:val="20"/>
        </w:rPr>
        <w:t>V</w:t>
      </w:r>
      <w:r w:rsidR="000F48CE">
        <w:rPr>
          <w:sz w:val="20"/>
          <w:vertAlign w:val="subscript"/>
        </w:rPr>
        <w:t>S</w:t>
      </w:r>
      <w:r>
        <w:rPr>
          <w:sz w:val="20"/>
          <w:vertAlign w:val="subscript"/>
        </w:rPr>
        <w:t>(i)</w:t>
      </w:r>
      <w:r>
        <w:rPr>
          <w:sz w:val="20"/>
        </w:rPr>
        <w:t xml:space="preserve"> standardu o koncentraci </w:t>
      </w:r>
      <w:proofErr w:type="spellStart"/>
      <w:r w:rsidRPr="009F2010">
        <w:rPr>
          <w:i/>
          <w:sz w:val="20"/>
        </w:rPr>
        <w:t>c</w:t>
      </w:r>
      <w:r w:rsidR="000F48CE" w:rsidRPr="009F2010">
        <w:rPr>
          <w:sz w:val="20"/>
          <w:vertAlign w:val="subscript"/>
        </w:rPr>
        <w:t>S</w:t>
      </w:r>
      <w:proofErr w:type="spellEnd"/>
      <w:r>
        <w:rPr>
          <w:sz w:val="20"/>
        </w:rPr>
        <w:t xml:space="preserve"> do všech odměrných baněk (přídavek standardu do první baňky </w:t>
      </w:r>
      <w:r>
        <w:rPr>
          <w:i/>
          <w:sz w:val="20"/>
        </w:rPr>
        <w:t>V</w:t>
      </w:r>
      <w:r w:rsidR="000F48CE">
        <w:rPr>
          <w:sz w:val="20"/>
          <w:vertAlign w:val="subscript"/>
        </w:rPr>
        <w:t>S</w:t>
      </w:r>
      <w:r>
        <w:rPr>
          <w:sz w:val="20"/>
          <w:vertAlign w:val="subscript"/>
        </w:rPr>
        <w:t>(1)</w:t>
      </w:r>
      <w:r>
        <w:rPr>
          <w:sz w:val="20"/>
        </w:rPr>
        <w:t xml:space="preserve"> = 0) </w:t>
      </w:r>
    </w:p>
    <w:p w:rsidR="00F776E8" w:rsidRDefault="00F776E8" w:rsidP="00F776E8">
      <w:pPr>
        <w:numPr>
          <w:ilvl w:val="0"/>
          <w:numId w:val="15"/>
        </w:numPr>
        <w:spacing w:line="240" w:lineRule="auto"/>
        <w:rPr>
          <w:sz w:val="20"/>
        </w:rPr>
      </w:pPr>
      <w:r>
        <w:rPr>
          <w:sz w:val="20"/>
        </w:rPr>
        <w:t>doplnění všech baněk na stejný konečný objem!</w:t>
      </w:r>
    </w:p>
    <w:p w:rsidR="00F776E8" w:rsidRDefault="00F776E8" w:rsidP="00F776E8">
      <w:pPr>
        <w:numPr>
          <w:ilvl w:val="0"/>
          <w:numId w:val="15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 xml:space="preserve">měření </w:t>
      </w:r>
      <w:proofErr w:type="gramStart"/>
      <w:r>
        <w:rPr>
          <w:sz w:val="20"/>
        </w:rPr>
        <w:t xml:space="preserve">signálu </w:t>
      </w:r>
      <w:r>
        <w:rPr>
          <w:i/>
          <w:sz w:val="20"/>
        </w:rPr>
        <w:t>A</w:t>
      </w:r>
      <w:r>
        <w:rPr>
          <w:sz w:val="20"/>
          <w:vertAlign w:val="subscript"/>
        </w:rPr>
        <w:t>(i)</w:t>
      </w:r>
      <w:proofErr w:type="gramEnd"/>
      <w:r>
        <w:rPr>
          <w:sz w:val="20"/>
        </w:rPr>
        <w:t xml:space="preserve"> </w:t>
      </w:r>
    </w:p>
    <w:p w:rsidR="00F776E8" w:rsidRDefault="00F776E8" w:rsidP="00F776E8">
      <w:pPr>
        <w:numPr>
          <w:ilvl w:val="0"/>
          <w:numId w:val="15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>lineární regrese (obrázek 1)</w:t>
      </w:r>
    </w:p>
    <w:p w:rsidR="00F776E8" w:rsidRPr="00B81965" w:rsidRDefault="00F776E8" w:rsidP="00F776E8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F776E8" w:rsidRPr="00732841" w:rsidRDefault="00F86E23" w:rsidP="009D1518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3771900" cy="20002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E8" w:rsidRDefault="00F776E8" w:rsidP="009D1518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proofErr w:type="gramStart"/>
      <w:r>
        <w:rPr>
          <w:sz w:val="20"/>
        </w:rPr>
        <w:t>Obr.1.</w:t>
      </w:r>
      <w:proofErr w:type="gramEnd"/>
      <w:r>
        <w:rPr>
          <w:sz w:val="20"/>
        </w:rPr>
        <w:t>  Zobrazení metody přídavku standardu do vzorku</w:t>
      </w:r>
    </w:p>
    <w:p w:rsidR="0052683F" w:rsidRDefault="0052683F" w:rsidP="00F34FEA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52683F" w:rsidRDefault="0052683F" w:rsidP="0052683F">
      <w:pPr>
        <w:tabs>
          <w:tab w:val="left" w:pos="900"/>
          <w:tab w:val="center" w:pos="4500"/>
        </w:tabs>
        <w:spacing w:line="240" w:lineRule="auto"/>
        <w:ind w:left="360"/>
        <w:rPr>
          <w:sz w:val="20"/>
        </w:rPr>
      </w:pPr>
      <w:r>
        <w:rPr>
          <w:sz w:val="20"/>
        </w:rPr>
        <w:t>Rovnice měření:</w:t>
      </w:r>
      <w:r>
        <w:rPr>
          <w:sz w:val="20"/>
        </w:rPr>
        <w:tab/>
        <w:t xml:space="preserve"> </w:t>
      </w:r>
      <w:r w:rsidR="0042285B" w:rsidRPr="0042285B">
        <w:rPr>
          <w:position w:val="-26"/>
          <w:sz w:val="20"/>
        </w:rPr>
        <w:object w:dxaOrig="1100" w:dyaOrig="600">
          <v:shape id="_x0000_i1033" type="#_x0000_t75" style="width:54.75pt;height:30pt" o:ole="">
            <v:imagedata r:id="rId24" o:title=""/>
          </v:shape>
          <o:OLEObject Type="Embed" ProgID="Equation.3" ShapeID="_x0000_i1033" DrawAspect="Content" ObjectID="_1612349431" r:id="rId25"/>
        </w:object>
      </w:r>
    </w:p>
    <w:p w:rsidR="0052683F" w:rsidRDefault="0052683F" w:rsidP="00F34FEA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99740A" w:rsidRPr="00352A8A" w:rsidRDefault="00761F8B" w:rsidP="00F34FEA">
      <w:pPr>
        <w:tabs>
          <w:tab w:val="left" w:pos="900"/>
        </w:tabs>
        <w:spacing w:line="240" w:lineRule="auto"/>
        <w:ind w:left="360"/>
        <w:rPr>
          <w:color w:val="000000"/>
          <w:sz w:val="20"/>
        </w:rPr>
      </w:pPr>
      <w:r w:rsidRPr="006F57B3">
        <w:rPr>
          <w:i/>
          <w:iCs/>
          <w:sz w:val="20"/>
          <w:lang w:val="fr-FR"/>
        </w:rPr>
        <w:t>kde</w:t>
      </w:r>
      <w:r w:rsidRPr="006F57B3">
        <w:rPr>
          <w:sz w:val="20"/>
          <w:lang w:val="fr-FR"/>
        </w:rPr>
        <w:t xml:space="preserve">: </w:t>
      </w:r>
      <w:r w:rsidRPr="006F57B3">
        <w:rPr>
          <w:i/>
          <w:sz w:val="20"/>
          <w:lang w:val="fr-FR"/>
        </w:rPr>
        <w:t>c</w:t>
      </w:r>
      <w:r w:rsidRPr="000F48CE">
        <w:rPr>
          <w:sz w:val="20"/>
          <w:vertAlign w:val="subscript"/>
          <w:lang w:val="fr-FR"/>
        </w:rPr>
        <w:t>vz</w:t>
      </w:r>
      <w:r w:rsidRPr="006F57B3">
        <w:rPr>
          <w:sz w:val="20"/>
          <w:lang w:val="fr-FR"/>
        </w:rPr>
        <w:t xml:space="preserve"> je </w:t>
      </w:r>
      <w:r w:rsidRPr="006F57B3">
        <w:rPr>
          <w:color w:val="000000"/>
          <w:sz w:val="20"/>
          <w:lang w:val="fr-FR"/>
        </w:rPr>
        <w:t>koncentrace analytu ve stanovovaném vzorku,</w:t>
      </w:r>
      <w:r w:rsidRPr="006F57B3">
        <w:rPr>
          <w:color w:val="FF0000"/>
          <w:sz w:val="20"/>
          <w:lang w:val="fr-FR"/>
        </w:rPr>
        <w:t xml:space="preserve"> </w:t>
      </w:r>
      <w:r w:rsidRPr="006F57B3">
        <w:rPr>
          <w:i/>
          <w:sz w:val="20"/>
          <w:lang w:val="fr-FR"/>
        </w:rPr>
        <w:t>c</w:t>
      </w:r>
      <w:r w:rsidR="000F48CE" w:rsidRPr="000F48CE">
        <w:rPr>
          <w:sz w:val="20"/>
          <w:vertAlign w:val="subscript"/>
          <w:lang w:val="fr-FR"/>
        </w:rPr>
        <w:t>S</w:t>
      </w:r>
      <w:r w:rsidRPr="006F57B3">
        <w:rPr>
          <w:sz w:val="20"/>
          <w:lang w:val="fr-FR"/>
        </w:rPr>
        <w:t xml:space="preserve"> je koncentrace standardu, </w:t>
      </w:r>
      <w:r w:rsidRPr="006F57B3">
        <w:rPr>
          <w:i/>
          <w:sz w:val="20"/>
          <w:lang w:val="fr-FR"/>
        </w:rPr>
        <w:t>V</w:t>
      </w:r>
      <w:r w:rsidR="000F48CE" w:rsidRPr="000F48CE">
        <w:rPr>
          <w:sz w:val="20"/>
          <w:vertAlign w:val="subscript"/>
          <w:lang w:val="fr-FR"/>
        </w:rPr>
        <w:t>vz</w:t>
      </w:r>
      <w:r w:rsidRPr="006F57B3">
        <w:rPr>
          <w:sz w:val="20"/>
          <w:lang w:val="fr-FR"/>
        </w:rPr>
        <w:t xml:space="preserve"> je objem </w:t>
      </w:r>
      <w:r w:rsidRPr="006F57B3">
        <w:rPr>
          <w:color w:val="000000"/>
          <w:sz w:val="20"/>
          <w:lang w:val="fr-FR"/>
        </w:rPr>
        <w:t xml:space="preserve">stanovovaného vzorku, </w:t>
      </w:r>
      <w:r w:rsidR="009B42C7" w:rsidRPr="009B42C7">
        <w:rPr>
          <w:i/>
          <w:color w:val="000000"/>
          <w:sz w:val="20"/>
          <w:lang w:val="fr-FR"/>
        </w:rPr>
        <w:t>a</w:t>
      </w:r>
      <w:r w:rsidR="009B42C7">
        <w:rPr>
          <w:color w:val="000000"/>
          <w:sz w:val="20"/>
          <w:lang w:val="fr-FR"/>
        </w:rPr>
        <w:t xml:space="preserve"> je úsek a </w:t>
      </w:r>
      <w:r w:rsidR="009B42C7" w:rsidRPr="009B42C7">
        <w:rPr>
          <w:i/>
          <w:color w:val="000000"/>
          <w:sz w:val="20"/>
          <w:lang w:val="fr-FR"/>
        </w:rPr>
        <w:t>b</w:t>
      </w:r>
      <w:r w:rsidR="009B42C7">
        <w:rPr>
          <w:color w:val="000000"/>
          <w:sz w:val="20"/>
          <w:lang w:val="fr-FR"/>
        </w:rPr>
        <w:t xml:space="preserve"> směrnice kalibrační rovnice.</w:t>
      </w:r>
    </w:p>
    <w:p w:rsidR="002110C6" w:rsidRPr="0042285B" w:rsidRDefault="002110C6" w:rsidP="00F34FEA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C5552D" w:rsidRDefault="00C5552D" w:rsidP="00684E35">
      <w:pPr>
        <w:pStyle w:val="Bezmezer"/>
        <w:tabs>
          <w:tab w:val="left" w:pos="900"/>
        </w:tabs>
        <w:spacing w:after="200"/>
        <w:ind w:left="360"/>
        <w:rPr>
          <w:rFonts w:ascii="Times New Roman" w:hAnsi="Times New Roman"/>
          <w:sz w:val="20"/>
        </w:rPr>
      </w:pPr>
    </w:p>
    <w:p w:rsidR="0042285B" w:rsidRDefault="0042285B" w:rsidP="00684E35">
      <w:pPr>
        <w:pStyle w:val="Bezmezer"/>
        <w:tabs>
          <w:tab w:val="left" w:pos="900"/>
        </w:tabs>
        <w:spacing w:after="200"/>
        <w:ind w:left="360"/>
        <w:rPr>
          <w:rFonts w:ascii="Times New Roman" w:hAnsi="Times New Roman"/>
          <w:sz w:val="20"/>
        </w:rPr>
      </w:pPr>
      <w:r w:rsidRPr="0042285B">
        <w:rPr>
          <w:rFonts w:ascii="Times New Roman" w:hAnsi="Times New Roman"/>
          <w:sz w:val="20"/>
        </w:rPr>
        <w:t>Standardní nejistota</w:t>
      </w:r>
      <w:r>
        <w:rPr>
          <w:rFonts w:ascii="Times New Roman" w:hAnsi="Times New Roman"/>
          <w:sz w:val="20"/>
        </w:rPr>
        <w:t xml:space="preserve"> objemu při </w:t>
      </w:r>
      <w:proofErr w:type="spellStart"/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z w:val="20"/>
          <w:vertAlign w:val="subscript"/>
        </w:rPr>
        <w:t>c</w:t>
      </w:r>
      <w:proofErr w:type="spellEnd"/>
      <w:r>
        <w:rPr>
          <w:rFonts w:ascii="Times New Roman" w:hAnsi="Times New Roman"/>
          <w:sz w:val="20"/>
          <w:vertAlign w:val="subscript"/>
        </w:rPr>
        <w:t xml:space="preserve"> </w:t>
      </w:r>
      <w:r>
        <w:rPr>
          <w:rFonts w:ascii="Times New Roman" w:hAnsi="Times New Roman"/>
          <w:sz w:val="20"/>
        </w:rPr>
        <w:t>= 0:</w:t>
      </w:r>
    </w:p>
    <w:p w:rsidR="00C5552D" w:rsidRDefault="00A75727" w:rsidP="00C5552D">
      <w:pPr>
        <w:pStyle w:val="Bezmezer"/>
        <w:tabs>
          <w:tab w:val="left" w:pos="900"/>
        </w:tabs>
        <w:spacing w:after="200"/>
        <w:ind w:left="360"/>
        <w:jc w:val="center"/>
        <w:rPr>
          <w:sz w:val="20"/>
        </w:rPr>
      </w:pPr>
      <w:r w:rsidRPr="00A75727">
        <w:rPr>
          <w:position w:val="-38"/>
          <w:sz w:val="20"/>
        </w:rPr>
        <w:object w:dxaOrig="2520" w:dyaOrig="840">
          <v:shape id="_x0000_i1034" type="#_x0000_t75" style="width:126pt;height:42pt" o:ole="">
            <v:imagedata r:id="rId26" o:title=""/>
          </v:shape>
          <o:OLEObject Type="Embed" ProgID="Equation.3" ShapeID="_x0000_i1034" DrawAspect="Content" ObjectID="_1612349432" r:id="rId27"/>
        </w:object>
      </w:r>
    </w:p>
    <w:p w:rsidR="00C5552D" w:rsidRDefault="00C5552D" w:rsidP="00684E35">
      <w:pPr>
        <w:pStyle w:val="Bezmezer"/>
        <w:tabs>
          <w:tab w:val="left" w:pos="900"/>
        </w:tabs>
        <w:spacing w:after="200"/>
        <w:ind w:left="360"/>
        <w:rPr>
          <w:sz w:val="20"/>
        </w:rPr>
      </w:pPr>
      <w:r>
        <w:rPr>
          <w:sz w:val="20"/>
        </w:rPr>
        <w:t xml:space="preserve">Kde </w:t>
      </w:r>
      <w:proofErr w:type="spellStart"/>
      <w:r>
        <w:rPr>
          <w:sz w:val="20"/>
        </w:rPr>
        <w:t>y</w:t>
      </w:r>
      <w:r>
        <w:rPr>
          <w:sz w:val="20"/>
          <w:vertAlign w:val="subscript"/>
        </w:rPr>
        <w:t>c</w:t>
      </w:r>
      <w:proofErr w:type="spellEnd"/>
      <w:r>
        <w:rPr>
          <w:sz w:val="20"/>
        </w:rPr>
        <w:t xml:space="preserve"> = 0 a </w:t>
      </w:r>
      <w:r w:rsidRPr="00C5552D">
        <w:rPr>
          <w:position w:val="-10"/>
          <w:sz w:val="20"/>
        </w:rPr>
        <w:object w:dxaOrig="1500" w:dyaOrig="340">
          <v:shape id="_x0000_i1035" type="#_x0000_t75" style="width:75pt;height:17.25pt" o:ole="">
            <v:imagedata r:id="rId28" o:title=""/>
          </v:shape>
          <o:OLEObject Type="Embed" ProgID="Equation.3" ShapeID="_x0000_i1035" DrawAspect="Content" ObjectID="_1612349433" r:id="rId29"/>
        </w:object>
      </w:r>
    </w:p>
    <w:p w:rsidR="00C5552D" w:rsidRDefault="00C5552D" w:rsidP="00684E35">
      <w:pPr>
        <w:pStyle w:val="Bezmezer"/>
        <w:tabs>
          <w:tab w:val="left" w:pos="900"/>
        </w:tabs>
        <w:spacing w:after="200"/>
        <w:ind w:left="360"/>
        <w:rPr>
          <w:sz w:val="20"/>
        </w:rPr>
      </w:pPr>
    </w:p>
    <w:p w:rsidR="00C5552D" w:rsidRDefault="00C5552D" w:rsidP="00684E35">
      <w:pPr>
        <w:pStyle w:val="Bezmezer"/>
        <w:tabs>
          <w:tab w:val="left" w:pos="900"/>
        </w:tabs>
        <w:spacing w:after="200"/>
        <w:ind w:left="360"/>
        <w:rPr>
          <w:sz w:val="20"/>
        </w:rPr>
      </w:pPr>
      <w:r>
        <w:rPr>
          <w:sz w:val="20"/>
        </w:rPr>
        <w:t xml:space="preserve">Standardní nejistota vypočtené koncentrace </w:t>
      </w:r>
      <w:proofErr w:type="spellStart"/>
      <w:r>
        <w:rPr>
          <w:sz w:val="20"/>
        </w:rPr>
        <w:t>u</w:t>
      </w:r>
      <w:r>
        <w:rPr>
          <w:sz w:val="20"/>
          <w:vertAlign w:val="subscript"/>
        </w:rPr>
        <w:t>c</w:t>
      </w:r>
      <w:proofErr w:type="spellEnd"/>
      <w:r>
        <w:rPr>
          <w:sz w:val="20"/>
        </w:rPr>
        <w:t>:</w:t>
      </w:r>
    </w:p>
    <w:p w:rsidR="00684E35" w:rsidRDefault="00A75727" w:rsidP="008C7A73">
      <w:pPr>
        <w:pStyle w:val="Bezmezer"/>
        <w:tabs>
          <w:tab w:val="left" w:pos="900"/>
        </w:tabs>
        <w:spacing w:after="200"/>
        <w:ind w:left="360"/>
        <w:jc w:val="center"/>
        <w:rPr>
          <w:rFonts w:ascii="Times New Roman" w:hAnsi="Times New Roman"/>
          <w:b/>
          <w:bCs/>
          <w:iCs/>
        </w:rPr>
      </w:pPr>
      <w:r w:rsidRPr="00A75727">
        <w:rPr>
          <w:position w:val="-66"/>
          <w:sz w:val="20"/>
        </w:rPr>
        <w:object w:dxaOrig="1300" w:dyaOrig="1080">
          <v:shape id="_x0000_i1036" type="#_x0000_t75" style="width:64.5pt;height:54pt" o:ole="">
            <v:imagedata r:id="rId30" o:title=""/>
          </v:shape>
          <o:OLEObject Type="Embed" ProgID="Equation.3" ShapeID="_x0000_i1036" DrawAspect="Content" ObjectID="_1612349434" r:id="rId31"/>
        </w:object>
      </w:r>
      <w:r w:rsidR="0099740A">
        <w:rPr>
          <w:sz w:val="20"/>
        </w:rPr>
        <w:br w:type="page"/>
      </w:r>
      <w:r w:rsidR="00684E35">
        <w:rPr>
          <w:rFonts w:ascii="Times New Roman" w:hAnsi="Times New Roman"/>
          <w:b/>
          <w:bCs/>
          <w:iCs/>
        </w:rPr>
        <w:lastRenderedPageBreak/>
        <w:t>3.</w:t>
      </w:r>
      <w:r w:rsidR="00684E35">
        <w:rPr>
          <w:rFonts w:ascii="Times New Roman" w:hAnsi="Times New Roman"/>
          <w:b/>
          <w:bCs/>
          <w:iCs/>
        </w:rPr>
        <w:tab/>
        <w:t>Vyhodnocení dat - TLC</w:t>
      </w:r>
    </w:p>
    <w:p w:rsidR="00F34FEA" w:rsidRDefault="00F34FEA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347F9B" w:rsidRDefault="00347F9B" w:rsidP="00347F9B">
      <w:pPr>
        <w:spacing w:line="240" w:lineRule="auto"/>
        <w:ind w:left="1548" w:hanging="1191"/>
        <w:rPr>
          <w:sz w:val="20"/>
        </w:rPr>
      </w:pPr>
      <w:r>
        <w:rPr>
          <w:sz w:val="20"/>
        </w:rPr>
        <w:t xml:space="preserve">Úlohy: </w:t>
      </w:r>
      <w:proofErr w:type="gramStart"/>
      <w:r>
        <w:rPr>
          <w:sz w:val="20"/>
        </w:rPr>
        <w:t>č.2 – Stanovení</w:t>
      </w:r>
      <w:proofErr w:type="gramEnd"/>
      <w:r>
        <w:rPr>
          <w:sz w:val="20"/>
        </w:rPr>
        <w:t xml:space="preserve"> kyseliny </w:t>
      </w:r>
      <w:proofErr w:type="spellStart"/>
      <w:r>
        <w:rPr>
          <w:sz w:val="20"/>
        </w:rPr>
        <w:t>glutamové</w:t>
      </w:r>
      <w:proofErr w:type="spellEnd"/>
      <w:r>
        <w:rPr>
          <w:sz w:val="20"/>
        </w:rPr>
        <w:t xml:space="preserve"> pomocí metod kapilární </w:t>
      </w:r>
      <w:proofErr w:type="spellStart"/>
      <w:r>
        <w:rPr>
          <w:sz w:val="20"/>
        </w:rPr>
        <w:t>izotachoforézy</w:t>
      </w:r>
      <w:proofErr w:type="spellEnd"/>
      <w:r>
        <w:rPr>
          <w:sz w:val="20"/>
        </w:rPr>
        <w:t xml:space="preserve"> a tenkovrstvé chromatografie</w:t>
      </w:r>
    </w:p>
    <w:p w:rsidR="00347F9B" w:rsidRDefault="00347F9B" w:rsidP="00347F9B">
      <w:pPr>
        <w:spacing w:line="240" w:lineRule="auto"/>
        <w:ind w:left="1080" w:hanging="720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č.3 – Analýza</w:t>
      </w:r>
      <w:proofErr w:type="gramEnd"/>
      <w:r>
        <w:rPr>
          <w:sz w:val="20"/>
        </w:rPr>
        <w:t xml:space="preserve"> syntetických a rostlinných barviv pomocí tenkovrstvé chromatografie</w:t>
      </w:r>
    </w:p>
    <w:p w:rsidR="009D1518" w:rsidRDefault="009D1518" w:rsidP="00347F9B">
      <w:pPr>
        <w:spacing w:line="240" w:lineRule="auto"/>
        <w:ind w:left="1080" w:hanging="720"/>
        <w:rPr>
          <w:sz w:val="20"/>
        </w:rPr>
      </w:pPr>
    </w:p>
    <w:p w:rsidR="009D1518" w:rsidRDefault="009D1518" w:rsidP="009D1518">
      <w:pPr>
        <w:spacing w:line="240" w:lineRule="auto"/>
        <w:ind w:left="360"/>
        <w:rPr>
          <w:sz w:val="20"/>
        </w:rPr>
      </w:pPr>
      <w:r>
        <w:rPr>
          <w:sz w:val="20"/>
        </w:rPr>
        <w:t xml:space="preserve">Separace ve zvoleném chromatografickém systému probíhá na základě afinity </w:t>
      </w:r>
      <w:proofErr w:type="spellStart"/>
      <w:r>
        <w:rPr>
          <w:sz w:val="20"/>
        </w:rPr>
        <w:t>analytu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hydrofobicita</w:t>
      </w:r>
      <w:proofErr w:type="spellEnd"/>
      <w:r>
        <w:rPr>
          <w:sz w:val="20"/>
        </w:rPr>
        <w:t xml:space="preserve">, funkční skupiny, atd.) k ukotvené stacionární fázi na vhodném nosiči. </w:t>
      </w:r>
      <w:proofErr w:type="spellStart"/>
      <w:r>
        <w:rPr>
          <w:sz w:val="20"/>
        </w:rPr>
        <w:t>Eluční</w:t>
      </w:r>
      <w:proofErr w:type="spellEnd"/>
      <w:r>
        <w:rPr>
          <w:sz w:val="20"/>
        </w:rPr>
        <w:t xml:space="preserve"> profil získaných </w:t>
      </w:r>
      <w:r w:rsidR="00352161">
        <w:rPr>
          <w:sz w:val="20"/>
        </w:rPr>
        <w:t>zón</w:t>
      </w:r>
      <w:r>
        <w:rPr>
          <w:sz w:val="20"/>
        </w:rPr>
        <w:t xml:space="preserve">, představující za vhodně zvolených podmínek stanovovaný separovaný </w:t>
      </w:r>
      <w:proofErr w:type="spellStart"/>
      <w:r>
        <w:rPr>
          <w:sz w:val="20"/>
        </w:rPr>
        <w:t>analyt</w:t>
      </w:r>
      <w:proofErr w:type="spellEnd"/>
      <w:r>
        <w:rPr>
          <w:sz w:val="20"/>
        </w:rPr>
        <w:t>, může nabývat různých forem</w:t>
      </w:r>
      <w:r w:rsidR="00D65704">
        <w:rPr>
          <w:sz w:val="20"/>
        </w:rPr>
        <w:t>/tvarů</w:t>
      </w:r>
      <w:r>
        <w:rPr>
          <w:sz w:val="20"/>
        </w:rPr>
        <w:t xml:space="preserve">. Ne vždy získáme symetrický kruhovitý profil </w:t>
      </w:r>
      <w:r w:rsidR="00DA53B5">
        <w:rPr>
          <w:sz w:val="20"/>
        </w:rPr>
        <w:t>zóny</w:t>
      </w:r>
      <w:r>
        <w:rPr>
          <w:sz w:val="20"/>
        </w:rPr>
        <w:t xml:space="preserve"> po eluci</w:t>
      </w:r>
      <w:r w:rsidR="00D65704">
        <w:rPr>
          <w:sz w:val="20"/>
        </w:rPr>
        <w:t xml:space="preserve"> </w:t>
      </w:r>
      <w:proofErr w:type="spellStart"/>
      <w:r w:rsidR="00D65704">
        <w:rPr>
          <w:sz w:val="20"/>
        </w:rPr>
        <w:t>analytu</w:t>
      </w:r>
      <w:proofErr w:type="spellEnd"/>
      <w:r w:rsidR="00D65704">
        <w:rPr>
          <w:sz w:val="20"/>
        </w:rPr>
        <w:t xml:space="preserve"> v systému</w:t>
      </w:r>
      <w:r>
        <w:rPr>
          <w:sz w:val="20"/>
        </w:rPr>
        <w:t xml:space="preserve">. Profil </w:t>
      </w:r>
      <w:r w:rsidR="00DA53B5">
        <w:rPr>
          <w:sz w:val="20"/>
        </w:rPr>
        <w:t>zóny</w:t>
      </w:r>
      <w:r>
        <w:rPr>
          <w:sz w:val="20"/>
        </w:rPr>
        <w:t xml:space="preserve"> se nejčastěji vyskytuje jako ovál, příp. </w:t>
      </w:r>
      <w:proofErr w:type="spellStart"/>
      <w:r>
        <w:rPr>
          <w:sz w:val="20"/>
        </w:rPr>
        <w:t>chvostuje</w:t>
      </w:r>
      <w:proofErr w:type="spellEnd"/>
      <w:r>
        <w:rPr>
          <w:sz w:val="20"/>
        </w:rPr>
        <w:t>, nebo se rozpíjí do stran (obrázek 2).</w:t>
      </w:r>
    </w:p>
    <w:p w:rsidR="00347F9B" w:rsidRDefault="00347F9B" w:rsidP="00347F9B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347F9B" w:rsidRPr="00352161" w:rsidRDefault="00F86E23" w:rsidP="009D1518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228725" cy="3057525"/>
            <wp:effectExtent l="19050" t="0" r="9525" b="0"/>
            <wp:docPr id="14" name="obrázek 14" descr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brázek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518" w:rsidRDefault="009D1518" w:rsidP="009D1518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proofErr w:type="gramStart"/>
      <w:r>
        <w:rPr>
          <w:sz w:val="20"/>
        </w:rPr>
        <w:t>Obr.2.</w:t>
      </w:r>
      <w:proofErr w:type="gramEnd"/>
      <w:r>
        <w:rPr>
          <w:sz w:val="20"/>
        </w:rPr>
        <w:t xml:space="preserve">  </w:t>
      </w:r>
      <w:r w:rsidR="00DA53B5">
        <w:rPr>
          <w:sz w:val="20"/>
        </w:rPr>
        <w:t>Nejčastější příklady profilů zón vzorku po chromatografické separaci. Zóna</w:t>
      </w:r>
      <w:r w:rsidR="00352161">
        <w:rPr>
          <w:sz w:val="20"/>
        </w:rPr>
        <w:t xml:space="preserve"> difunduje do strany (0), </w:t>
      </w:r>
      <w:proofErr w:type="spellStart"/>
      <w:r w:rsidR="00352161">
        <w:rPr>
          <w:sz w:val="20"/>
        </w:rPr>
        <w:t>chvostuje</w:t>
      </w:r>
      <w:proofErr w:type="spellEnd"/>
      <w:r w:rsidR="00352161">
        <w:rPr>
          <w:sz w:val="20"/>
        </w:rPr>
        <w:t xml:space="preserve"> (1),</w:t>
      </w:r>
      <w:r w:rsidR="00DA53B5">
        <w:rPr>
          <w:sz w:val="20"/>
        </w:rPr>
        <w:t xml:space="preserve"> rozmývá se podélně do oválného tvaru (2), má symetrický kulovitý tvar (3).</w:t>
      </w:r>
    </w:p>
    <w:p w:rsidR="00347F9B" w:rsidRDefault="00347F9B" w:rsidP="00347F9B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84E35" w:rsidRDefault="00DA53B5" w:rsidP="00A5211A">
      <w:pPr>
        <w:spacing w:line="240" w:lineRule="auto"/>
        <w:ind w:left="357"/>
        <w:rPr>
          <w:sz w:val="20"/>
        </w:rPr>
      </w:pPr>
      <w:r>
        <w:rPr>
          <w:sz w:val="20"/>
        </w:rPr>
        <w:t>Existují různé způsoby jak zobrazenou zónu vyhodnotit</w:t>
      </w:r>
      <w:r w:rsidR="00684E35">
        <w:rPr>
          <w:sz w:val="20"/>
        </w:rPr>
        <w:t xml:space="preserve"> a získat tím příslušnou vzdálenost její migrace v separačním systému:</w:t>
      </w:r>
    </w:p>
    <w:p w:rsidR="006B1DA1" w:rsidRDefault="00684E35" w:rsidP="00684E35">
      <w:pPr>
        <w:spacing w:line="240" w:lineRule="auto"/>
        <w:ind w:left="357"/>
        <w:rPr>
          <w:sz w:val="20"/>
          <w:lang w:val="fr-FR"/>
        </w:rPr>
      </w:pPr>
      <w:r w:rsidRPr="00684E35">
        <w:rPr>
          <w:sz w:val="20"/>
          <w:lang w:val="fr-FR"/>
        </w:rPr>
        <w:t>i)</w:t>
      </w:r>
      <w:r>
        <w:rPr>
          <w:sz w:val="20"/>
          <w:lang w:val="fr-FR"/>
        </w:rPr>
        <w:t xml:space="preserve"> </w:t>
      </w:r>
      <w:r w:rsidR="00DA53B5">
        <w:rPr>
          <w:sz w:val="20"/>
          <w:lang w:val="fr-FR"/>
        </w:rPr>
        <w:t>ve středu zóny</w:t>
      </w:r>
    </w:p>
    <w:p w:rsidR="00684E35" w:rsidRDefault="00684E35" w:rsidP="00684E35">
      <w:pPr>
        <w:spacing w:line="240" w:lineRule="auto"/>
        <w:ind w:left="357"/>
        <w:rPr>
          <w:sz w:val="20"/>
          <w:lang w:val="fr-FR"/>
        </w:rPr>
      </w:pPr>
      <w:r>
        <w:rPr>
          <w:sz w:val="20"/>
          <w:lang w:val="fr-FR"/>
        </w:rPr>
        <w:t>ii) v těžišti zóny</w:t>
      </w:r>
    </w:p>
    <w:p w:rsidR="00684E35" w:rsidRDefault="00684E35" w:rsidP="00684E35">
      <w:pPr>
        <w:spacing w:line="240" w:lineRule="auto"/>
        <w:ind w:left="357"/>
        <w:rPr>
          <w:sz w:val="20"/>
          <w:lang w:val="fr-FR"/>
        </w:rPr>
      </w:pPr>
      <w:r>
        <w:rPr>
          <w:sz w:val="20"/>
          <w:lang w:val="fr-FR"/>
        </w:rPr>
        <w:t>iii) proložením ve vrcholu zóny</w:t>
      </w:r>
    </w:p>
    <w:p w:rsidR="00684E35" w:rsidRDefault="00684E35" w:rsidP="00684E35">
      <w:pPr>
        <w:spacing w:line="240" w:lineRule="auto"/>
        <w:ind w:left="357"/>
        <w:rPr>
          <w:sz w:val="20"/>
          <w:lang w:val="fr-FR"/>
        </w:rPr>
      </w:pPr>
      <w:r>
        <w:rPr>
          <w:sz w:val="20"/>
          <w:lang w:val="fr-FR"/>
        </w:rPr>
        <w:t>Zvolenou metodu pro vypočet retenčního faktoru, je třeba v každém případě pro celé vyhodnocení záznamu sjednotit!</w:t>
      </w:r>
    </w:p>
    <w:p w:rsidR="00D6231B" w:rsidRDefault="00D6231B" w:rsidP="00D6231B">
      <w:pPr>
        <w:pStyle w:val="Bezmezer"/>
        <w:tabs>
          <w:tab w:val="left" w:pos="900"/>
        </w:tabs>
        <w:spacing w:after="200"/>
        <w:ind w:left="360"/>
        <w:rPr>
          <w:rFonts w:ascii="Times New Roman" w:hAnsi="Times New Roman"/>
          <w:b/>
          <w:bCs/>
          <w:iCs/>
        </w:rPr>
      </w:pPr>
      <w:r>
        <w:rPr>
          <w:sz w:val="20"/>
          <w:lang w:val="fr-FR"/>
        </w:rPr>
        <w:br w:type="page"/>
      </w:r>
      <w:r>
        <w:rPr>
          <w:rFonts w:ascii="Times New Roman" w:hAnsi="Times New Roman"/>
          <w:b/>
          <w:bCs/>
          <w:iCs/>
        </w:rPr>
        <w:lastRenderedPageBreak/>
        <w:t>4.</w:t>
      </w:r>
      <w:r>
        <w:rPr>
          <w:rFonts w:ascii="Times New Roman" w:hAnsi="Times New Roman"/>
          <w:b/>
          <w:bCs/>
          <w:iCs/>
        </w:rPr>
        <w:tab/>
        <w:t>Vyhodnocení dat - PAGE</w:t>
      </w:r>
    </w:p>
    <w:p w:rsidR="00D6231B" w:rsidRDefault="00D6231B" w:rsidP="00D6231B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D6231B" w:rsidRDefault="00D6231B" w:rsidP="00D6231B">
      <w:pPr>
        <w:spacing w:line="240" w:lineRule="auto"/>
        <w:ind w:left="1548" w:hanging="1191"/>
        <w:rPr>
          <w:sz w:val="20"/>
        </w:rPr>
      </w:pPr>
      <w:r>
        <w:rPr>
          <w:sz w:val="20"/>
        </w:rPr>
        <w:t>Úlohy: č.</w:t>
      </w:r>
      <w:r w:rsidR="009F2010">
        <w:rPr>
          <w:sz w:val="20"/>
        </w:rPr>
        <w:t xml:space="preserve"> </w:t>
      </w:r>
      <w:r>
        <w:rPr>
          <w:sz w:val="20"/>
        </w:rPr>
        <w:t>6 – Stanovení vaječných proteinů pomocí gelové elektroforézy</w:t>
      </w:r>
    </w:p>
    <w:p w:rsidR="00D6231B" w:rsidRDefault="00D6231B" w:rsidP="00D6231B">
      <w:pPr>
        <w:spacing w:line="240" w:lineRule="auto"/>
        <w:ind w:left="1080" w:hanging="720"/>
        <w:rPr>
          <w:sz w:val="20"/>
        </w:rPr>
      </w:pPr>
    </w:p>
    <w:p w:rsidR="006A2FFD" w:rsidRDefault="00CA5F78" w:rsidP="00D6231B">
      <w:pPr>
        <w:spacing w:line="240" w:lineRule="auto"/>
        <w:ind w:left="357"/>
        <w:rPr>
          <w:sz w:val="20"/>
        </w:rPr>
      </w:pPr>
      <w:r w:rsidRPr="00CA5F78">
        <w:rPr>
          <w:sz w:val="20"/>
        </w:rPr>
        <w:t>Separace vaječných proteinů</w:t>
      </w:r>
      <w:r>
        <w:rPr>
          <w:sz w:val="20"/>
        </w:rPr>
        <w:t xml:space="preserve"> probíhá při této úloze v nativním prostředí, tedy bez přítomno</w:t>
      </w:r>
      <w:r w:rsidR="003E3B2A">
        <w:rPr>
          <w:sz w:val="20"/>
        </w:rPr>
        <w:t xml:space="preserve">sti denaturujícího činidla a denaturace samotných proteinů. </w:t>
      </w:r>
    </w:p>
    <w:p w:rsidR="006A2FFD" w:rsidRDefault="006A2FFD" w:rsidP="00D6231B">
      <w:pPr>
        <w:spacing w:line="240" w:lineRule="auto"/>
        <w:ind w:left="357"/>
        <w:rPr>
          <w:sz w:val="20"/>
        </w:rPr>
      </w:pPr>
      <w:r w:rsidRPr="006A2FFD">
        <w:rPr>
          <w:sz w:val="20"/>
        </w:rPr>
        <w:t xml:space="preserve">Nativní nebo také nedenaturující elektroforéza v </w:t>
      </w:r>
      <w:proofErr w:type="spellStart"/>
      <w:r w:rsidRPr="006A2FFD">
        <w:rPr>
          <w:sz w:val="20"/>
        </w:rPr>
        <w:t>polyakrylamidovém</w:t>
      </w:r>
      <w:proofErr w:type="spellEnd"/>
      <w:r w:rsidRPr="006A2FFD">
        <w:rPr>
          <w:sz w:val="20"/>
        </w:rPr>
        <w:t xml:space="preserve"> gelu je metoda, která se používá pro separaci látek (biologicky</w:t>
      </w:r>
      <w:r>
        <w:rPr>
          <w:sz w:val="20"/>
        </w:rPr>
        <w:t xml:space="preserve"> aktivních proteinů). V</w:t>
      </w:r>
      <w:r w:rsidRPr="006A2FFD">
        <w:rPr>
          <w:sz w:val="20"/>
        </w:rPr>
        <w:t> nativní gelové elektroforéze mobilita závisí na tvaru/velikosti, ale i na náboji látek</w:t>
      </w:r>
      <w:r>
        <w:rPr>
          <w:sz w:val="20"/>
        </w:rPr>
        <w:t xml:space="preserve">, důležitými parametry tedy jsou pH elektroforetického pufru a </w:t>
      </w:r>
      <w:proofErr w:type="spellStart"/>
      <w:r>
        <w:rPr>
          <w:sz w:val="20"/>
        </w:rPr>
        <w:t>pI</w:t>
      </w:r>
      <w:proofErr w:type="spellEnd"/>
      <w:r>
        <w:rPr>
          <w:sz w:val="20"/>
        </w:rPr>
        <w:t xml:space="preserve"> separovaných látek.</w:t>
      </w:r>
      <w:r w:rsidR="00F33E7E">
        <w:rPr>
          <w:sz w:val="20"/>
        </w:rPr>
        <w:t xml:space="preserve"> </w:t>
      </w:r>
      <w:r>
        <w:rPr>
          <w:sz w:val="20"/>
        </w:rPr>
        <w:t>Hodnota pH pufru ovlivňuje nejen náboj molekuly, ale i její velikost a rychlost pohybu v gelu. Jeho volbou se upřednostňuje kvalita separace a její rychlost.</w:t>
      </w:r>
    </w:p>
    <w:p w:rsidR="00D6231B" w:rsidRDefault="003E3B2A" w:rsidP="00D6231B">
      <w:pPr>
        <w:spacing w:line="240" w:lineRule="auto"/>
        <w:ind w:left="357"/>
        <w:rPr>
          <w:sz w:val="20"/>
        </w:rPr>
      </w:pPr>
      <w:r>
        <w:rPr>
          <w:sz w:val="20"/>
        </w:rPr>
        <w:t xml:space="preserve">Po ukončení separace za použití vhodné vodící barvičky se vyhodnocuje získaný </w:t>
      </w:r>
      <w:proofErr w:type="spellStart"/>
      <w:r>
        <w:rPr>
          <w:sz w:val="20"/>
        </w:rPr>
        <w:t>elektroforegram</w:t>
      </w:r>
      <w:proofErr w:type="spellEnd"/>
      <w:r>
        <w:rPr>
          <w:sz w:val="20"/>
        </w:rPr>
        <w:t xml:space="preserve">. Vodící barvičku, která se přidává k vzorku při jeho přípravě, volíme podle typu separace – katodická nebo anodická. </w:t>
      </w:r>
      <w:r w:rsidR="006A2FFD">
        <w:rPr>
          <w:sz w:val="20"/>
        </w:rPr>
        <w:t xml:space="preserve">Elektroforéza může tedy být prováděna vždy pouze v jednom směru a v této </w:t>
      </w:r>
      <w:r w:rsidR="000D00E6">
        <w:rPr>
          <w:sz w:val="20"/>
        </w:rPr>
        <w:t>podobě poté i vyhodnocena (katodická separace = migrace kladně nabitých proteinů ke katodě, anodická separace naopak).</w:t>
      </w:r>
    </w:p>
    <w:p w:rsidR="00CA5F78" w:rsidRDefault="00CA5F78" w:rsidP="00D6231B">
      <w:pPr>
        <w:spacing w:line="240" w:lineRule="auto"/>
        <w:ind w:left="357"/>
        <w:rPr>
          <w:sz w:val="20"/>
        </w:rPr>
      </w:pPr>
    </w:p>
    <w:p w:rsidR="006410E1" w:rsidRDefault="006410E1" w:rsidP="00D6231B">
      <w:pPr>
        <w:spacing w:line="240" w:lineRule="auto"/>
        <w:ind w:left="357"/>
        <w:rPr>
          <w:sz w:val="20"/>
        </w:rPr>
      </w:pPr>
      <w:r>
        <w:rPr>
          <w:sz w:val="20"/>
        </w:rPr>
        <w:t xml:space="preserve">Při praktickém provedení se setkáváme s jevem, kdy lysozym ve vaječném bílku při separaci na komerčním </w:t>
      </w:r>
      <w:proofErr w:type="spellStart"/>
      <w:r>
        <w:rPr>
          <w:sz w:val="20"/>
        </w:rPr>
        <w:t>Sebia</w:t>
      </w:r>
      <w:proofErr w:type="spellEnd"/>
      <w:r>
        <w:rPr>
          <w:sz w:val="20"/>
        </w:rPr>
        <w:t xml:space="preserve"> gelu jako jediný migruje</w:t>
      </w:r>
      <w:r w:rsidR="00CE6F11">
        <w:rPr>
          <w:sz w:val="20"/>
        </w:rPr>
        <w:t xml:space="preserve"> </w:t>
      </w:r>
      <w:r w:rsidR="009E294A">
        <w:rPr>
          <w:sz w:val="20"/>
        </w:rPr>
        <w:t xml:space="preserve">ke katodě. Samozřejmě jedním z faktorů je pH </w:t>
      </w:r>
      <w:proofErr w:type="spellStart"/>
      <w:r w:rsidR="009E294A">
        <w:rPr>
          <w:sz w:val="20"/>
        </w:rPr>
        <w:t>pufračního</w:t>
      </w:r>
      <w:proofErr w:type="spellEnd"/>
      <w:r w:rsidR="009E294A">
        <w:rPr>
          <w:sz w:val="20"/>
        </w:rPr>
        <w:t xml:space="preserve"> prostředí, ale také samotné chování lysozymu</w:t>
      </w:r>
      <w:r w:rsidR="00044A54">
        <w:rPr>
          <w:sz w:val="20"/>
        </w:rPr>
        <w:t xml:space="preserve"> vzhledem</w:t>
      </w:r>
      <w:r w:rsidR="009F2010">
        <w:rPr>
          <w:sz w:val="20"/>
        </w:rPr>
        <w:t xml:space="preserve"> k</w:t>
      </w:r>
      <w:r w:rsidR="00044A54">
        <w:rPr>
          <w:sz w:val="20"/>
        </w:rPr>
        <w:t xml:space="preserve"> jeho </w:t>
      </w:r>
      <w:proofErr w:type="spellStart"/>
      <w:r w:rsidR="00044A54">
        <w:rPr>
          <w:sz w:val="20"/>
        </w:rPr>
        <w:t>pI</w:t>
      </w:r>
      <w:proofErr w:type="spellEnd"/>
      <w:r w:rsidR="00044A54">
        <w:rPr>
          <w:sz w:val="20"/>
        </w:rPr>
        <w:t xml:space="preserve"> hodnotě</w:t>
      </w:r>
      <w:r w:rsidR="009E294A">
        <w:rPr>
          <w:sz w:val="20"/>
        </w:rPr>
        <w:t xml:space="preserve">. </w:t>
      </w:r>
      <w:r w:rsidR="009E294A" w:rsidRPr="006A2FFD">
        <w:rPr>
          <w:sz w:val="20"/>
        </w:rPr>
        <w:t xml:space="preserve">Lysozym při vyšších hodnotách pH putuje lépe ke katodě. Uplatňuje se zde vyšší náboj. Naopak při </w:t>
      </w:r>
      <w:r w:rsidR="00CE6F11">
        <w:rPr>
          <w:sz w:val="20"/>
        </w:rPr>
        <w:t xml:space="preserve">nižších </w:t>
      </w:r>
      <w:r w:rsidR="009E294A" w:rsidRPr="006A2FFD">
        <w:rPr>
          <w:sz w:val="20"/>
        </w:rPr>
        <w:t>pH hodnotách</w:t>
      </w:r>
      <w:r w:rsidR="00CE6F11">
        <w:rPr>
          <w:sz w:val="20"/>
        </w:rPr>
        <w:t>, kdy se uplatňuje menší náboj,</w:t>
      </w:r>
      <w:r w:rsidR="009E294A" w:rsidRPr="006A2FFD">
        <w:rPr>
          <w:sz w:val="20"/>
        </w:rPr>
        <w:t xml:space="preserve"> putuje ke katodě</w:t>
      </w:r>
      <w:r w:rsidR="00CE6F11">
        <w:rPr>
          <w:sz w:val="20"/>
        </w:rPr>
        <w:t xml:space="preserve"> hůře.</w:t>
      </w:r>
      <w:r w:rsidR="009E294A" w:rsidRPr="006A2FFD">
        <w:rPr>
          <w:sz w:val="20"/>
        </w:rPr>
        <w:t xml:space="preserve"> </w:t>
      </w:r>
      <w:r w:rsidR="00ED7DCA">
        <w:rPr>
          <w:sz w:val="20"/>
        </w:rPr>
        <w:t xml:space="preserve">Za těchto podmínek (použití </w:t>
      </w:r>
      <w:proofErr w:type="spellStart"/>
      <w:r w:rsidR="00ED7DCA">
        <w:rPr>
          <w:sz w:val="20"/>
        </w:rPr>
        <w:t>bromfenolové</w:t>
      </w:r>
      <w:proofErr w:type="spellEnd"/>
      <w:r w:rsidR="00ED7DCA">
        <w:rPr>
          <w:sz w:val="20"/>
        </w:rPr>
        <w:t xml:space="preserve"> modři jako vodící barvičky, která pouze zaznamenává celou migrační dráhu proteinů; použitého elektroforetického pufru) nemůže být separace </w:t>
      </w:r>
      <w:r w:rsidR="00DE72EE">
        <w:rPr>
          <w:sz w:val="20"/>
        </w:rPr>
        <w:t>vyhodnocena podle postupu, který je uvedený ve skriptech u návodu úlohy.</w:t>
      </w:r>
    </w:p>
    <w:p w:rsidR="006410E1" w:rsidRDefault="006410E1" w:rsidP="00D6231B">
      <w:pPr>
        <w:spacing w:line="240" w:lineRule="auto"/>
        <w:ind w:left="357"/>
        <w:rPr>
          <w:sz w:val="20"/>
        </w:rPr>
      </w:pPr>
    </w:p>
    <w:p w:rsidR="00DE72EE" w:rsidRDefault="00DE72EE" w:rsidP="00D6231B">
      <w:pPr>
        <w:spacing w:line="240" w:lineRule="auto"/>
        <w:ind w:left="357"/>
        <w:rPr>
          <w:sz w:val="20"/>
        </w:rPr>
      </w:pPr>
    </w:p>
    <w:p w:rsidR="00DE72EE" w:rsidRPr="00DE72EE" w:rsidRDefault="00DE72EE" w:rsidP="00D6231B">
      <w:pPr>
        <w:spacing w:line="240" w:lineRule="auto"/>
        <w:ind w:left="357"/>
        <w:rPr>
          <w:sz w:val="20"/>
          <w:u w:val="single"/>
        </w:rPr>
      </w:pPr>
      <w:r w:rsidRPr="00DE72EE">
        <w:rPr>
          <w:sz w:val="20"/>
          <w:u w:val="single"/>
        </w:rPr>
        <w:t>ŘEŠENÍ:</w:t>
      </w:r>
    </w:p>
    <w:p w:rsidR="006A2FFD" w:rsidRPr="006A2FFD" w:rsidRDefault="00CE6F11" w:rsidP="006A2FFD">
      <w:pPr>
        <w:spacing w:line="240" w:lineRule="auto"/>
        <w:ind w:left="357"/>
        <w:rPr>
          <w:sz w:val="20"/>
        </w:rPr>
      </w:pPr>
      <w:r>
        <w:rPr>
          <w:sz w:val="20"/>
        </w:rPr>
        <w:t>Pro uniformní separaci proteinů v GE lze využít zvláštní typ</w:t>
      </w:r>
      <w:r w:rsidR="006A2FFD" w:rsidRPr="006A2FFD">
        <w:rPr>
          <w:sz w:val="20"/>
        </w:rPr>
        <w:t xml:space="preserve"> nativn</w:t>
      </w:r>
      <w:r w:rsidR="006A2FFD">
        <w:rPr>
          <w:sz w:val="20"/>
        </w:rPr>
        <w:t>í gelové elektroforézy tzv. m</w:t>
      </w:r>
      <w:r w:rsidR="006A2FFD" w:rsidRPr="006A2FFD">
        <w:rPr>
          <w:sz w:val="20"/>
        </w:rPr>
        <w:t>odr</w:t>
      </w:r>
      <w:r w:rsidR="00F33E7E">
        <w:rPr>
          <w:sz w:val="20"/>
        </w:rPr>
        <w:t xml:space="preserve">ou nativní gelovou </w:t>
      </w:r>
      <w:r w:rsidR="006A2FFD" w:rsidRPr="006A2FFD">
        <w:rPr>
          <w:sz w:val="20"/>
        </w:rPr>
        <w:t>elektroforéz</w:t>
      </w:r>
      <w:r w:rsidR="00F33E7E">
        <w:rPr>
          <w:sz w:val="20"/>
        </w:rPr>
        <w:t>u</w:t>
      </w:r>
      <w:r w:rsidR="006A2FFD" w:rsidRPr="006A2FFD">
        <w:rPr>
          <w:sz w:val="20"/>
        </w:rPr>
        <w:t xml:space="preserve"> (BN-</w:t>
      </w:r>
      <w:r w:rsidR="00F33E7E">
        <w:rPr>
          <w:sz w:val="20"/>
        </w:rPr>
        <w:t>GE).</w:t>
      </w:r>
    </w:p>
    <w:p w:rsidR="006A2FFD" w:rsidRDefault="006A2FFD" w:rsidP="00D6231B">
      <w:pPr>
        <w:spacing w:line="240" w:lineRule="auto"/>
        <w:ind w:left="357"/>
        <w:rPr>
          <w:sz w:val="20"/>
        </w:rPr>
      </w:pPr>
    </w:p>
    <w:p w:rsidR="00142E4D" w:rsidRPr="006410E1" w:rsidRDefault="000D00E6" w:rsidP="00D6231B">
      <w:pPr>
        <w:spacing w:line="240" w:lineRule="auto"/>
        <w:ind w:left="357"/>
        <w:rPr>
          <w:b/>
          <w:i/>
          <w:sz w:val="20"/>
        </w:rPr>
      </w:pPr>
      <w:r w:rsidRPr="006410E1">
        <w:rPr>
          <w:b/>
          <w:i/>
          <w:sz w:val="20"/>
        </w:rPr>
        <w:t>BN-GE</w:t>
      </w:r>
    </w:p>
    <w:p w:rsidR="006410E1" w:rsidRDefault="000D00E6" w:rsidP="00142E4D">
      <w:pPr>
        <w:spacing w:line="240" w:lineRule="auto"/>
        <w:ind w:left="357"/>
        <w:rPr>
          <w:sz w:val="20"/>
        </w:rPr>
      </w:pPr>
      <w:r>
        <w:rPr>
          <w:sz w:val="20"/>
        </w:rPr>
        <w:t xml:space="preserve">Tato GE využívá CNN G-250, který se </w:t>
      </w:r>
      <w:r w:rsidR="00DE72EE">
        <w:rPr>
          <w:sz w:val="20"/>
        </w:rPr>
        <w:t xml:space="preserve">často </w:t>
      </w:r>
      <w:r>
        <w:rPr>
          <w:sz w:val="20"/>
        </w:rPr>
        <w:t xml:space="preserve">přidává ke vzorku krátce před elektroforézou a </w:t>
      </w:r>
      <w:r w:rsidR="00DE72EE">
        <w:rPr>
          <w:sz w:val="20"/>
        </w:rPr>
        <w:t xml:space="preserve">také se </w:t>
      </w:r>
      <w:r>
        <w:rPr>
          <w:sz w:val="20"/>
        </w:rPr>
        <w:t>anio</w:t>
      </w:r>
      <w:r w:rsidR="00DE72EE">
        <w:rPr>
          <w:sz w:val="20"/>
        </w:rPr>
        <w:t xml:space="preserve">n této barvičky </w:t>
      </w:r>
      <w:r>
        <w:rPr>
          <w:sz w:val="20"/>
        </w:rPr>
        <w:t xml:space="preserve">vyskytuje v pufru. </w:t>
      </w:r>
      <w:r w:rsidR="00142E4D" w:rsidRPr="00142E4D">
        <w:rPr>
          <w:sz w:val="20"/>
        </w:rPr>
        <w:t xml:space="preserve">CBB G-250 stejně jako </w:t>
      </w:r>
      <w:proofErr w:type="spellStart"/>
      <w:r w:rsidR="00142E4D" w:rsidRPr="00142E4D">
        <w:rPr>
          <w:sz w:val="20"/>
        </w:rPr>
        <w:t>dodecylsíran</w:t>
      </w:r>
      <w:proofErr w:type="spellEnd"/>
      <w:r w:rsidR="00142E4D" w:rsidRPr="00142E4D">
        <w:rPr>
          <w:sz w:val="20"/>
        </w:rPr>
        <w:t xml:space="preserve"> sodný</w:t>
      </w:r>
      <w:r>
        <w:rPr>
          <w:sz w:val="20"/>
        </w:rPr>
        <w:t xml:space="preserve"> (u denaturující GE</w:t>
      </w:r>
      <w:r w:rsidR="00331A84">
        <w:rPr>
          <w:sz w:val="20"/>
        </w:rPr>
        <w:t>; avšak na jiném mechanismu</w:t>
      </w:r>
      <w:r>
        <w:rPr>
          <w:sz w:val="20"/>
        </w:rPr>
        <w:t>)</w:t>
      </w:r>
      <w:r w:rsidR="00142E4D" w:rsidRPr="00142E4D">
        <w:rPr>
          <w:sz w:val="20"/>
        </w:rPr>
        <w:t xml:space="preserve"> udělí proteinům záporný náboj</w:t>
      </w:r>
      <w:r>
        <w:rPr>
          <w:sz w:val="20"/>
        </w:rPr>
        <w:t xml:space="preserve"> a p</w:t>
      </w:r>
      <w:r w:rsidR="00142E4D" w:rsidRPr="00142E4D">
        <w:rPr>
          <w:sz w:val="20"/>
        </w:rPr>
        <w:t>roteiny migr</w:t>
      </w:r>
      <w:r w:rsidR="00DE72EE">
        <w:rPr>
          <w:sz w:val="20"/>
        </w:rPr>
        <w:t>ují</w:t>
      </w:r>
      <w:r w:rsidR="00142E4D" w:rsidRPr="00142E4D">
        <w:rPr>
          <w:sz w:val="20"/>
        </w:rPr>
        <w:t xml:space="preserve"> k</w:t>
      </w:r>
      <w:r>
        <w:rPr>
          <w:sz w:val="20"/>
        </w:rPr>
        <w:t> </w:t>
      </w:r>
      <w:r w:rsidR="00142E4D" w:rsidRPr="00142E4D">
        <w:rPr>
          <w:sz w:val="20"/>
        </w:rPr>
        <w:t>anodě</w:t>
      </w:r>
      <w:r>
        <w:rPr>
          <w:sz w:val="20"/>
        </w:rPr>
        <w:t>.</w:t>
      </w:r>
      <w:r w:rsidR="006410E1">
        <w:rPr>
          <w:sz w:val="20"/>
        </w:rPr>
        <w:t xml:space="preserve"> Přirozený tvar, vnitřní náboj, ale i vaznost CBB G-250 na protein ovlivňuje chování proteinů při </w:t>
      </w:r>
      <w:r w:rsidR="00142E4D" w:rsidRPr="00142E4D">
        <w:rPr>
          <w:sz w:val="20"/>
        </w:rPr>
        <w:t>elektroforéze</w:t>
      </w:r>
      <w:r w:rsidR="006410E1">
        <w:rPr>
          <w:sz w:val="20"/>
        </w:rPr>
        <w:t xml:space="preserve">. </w:t>
      </w:r>
      <w:r w:rsidR="00F33E7E">
        <w:rPr>
          <w:sz w:val="20"/>
        </w:rPr>
        <w:t>CBB není detergentem, používá se v minimálním množství a poměr vázání CBB/protein a náboj/mole</w:t>
      </w:r>
      <w:r w:rsidR="009F2010">
        <w:rPr>
          <w:sz w:val="20"/>
        </w:rPr>
        <w:t>kulová hmotnost není u BN-GE stá</w:t>
      </w:r>
      <w:r w:rsidR="00F33E7E">
        <w:rPr>
          <w:sz w:val="20"/>
        </w:rPr>
        <w:t>lý. Hodnota pH použitého elektroforetického pufru bývá 7,5. Za těchto podmínek můžeme aplikovat kalibrační závislost pro vyhodnocení molekulové hmotnosti proteinů pro:</w:t>
      </w:r>
    </w:p>
    <w:p w:rsidR="00142E4D" w:rsidRDefault="006410E1" w:rsidP="006410E1">
      <w:pPr>
        <w:spacing w:line="240" w:lineRule="auto"/>
        <w:ind w:left="357"/>
        <w:rPr>
          <w:sz w:val="20"/>
        </w:rPr>
      </w:pPr>
      <w:r>
        <w:rPr>
          <w:sz w:val="20"/>
        </w:rPr>
        <w:t>i) proteiny s </w:t>
      </w:r>
      <w:proofErr w:type="spellStart"/>
      <w:r w:rsidRPr="006410E1">
        <w:rPr>
          <w:sz w:val="20"/>
        </w:rPr>
        <w:t>p</w:t>
      </w:r>
      <w:r>
        <w:rPr>
          <w:sz w:val="20"/>
        </w:rPr>
        <w:t>I</w:t>
      </w:r>
      <w:proofErr w:type="spellEnd"/>
      <w:r>
        <w:rPr>
          <w:sz w:val="20"/>
        </w:rPr>
        <w:t> </w:t>
      </w:r>
      <w:r w:rsidRPr="006410E1">
        <w:rPr>
          <w:sz w:val="20"/>
        </w:rPr>
        <w:t xml:space="preserve">&lt; 8,6, </w:t>
      </w:r>
      <w:r w:rsidR="00142E4D" w:rsidRPr="006410E1">
        <w:rPr>
          <w:sz w:val="20"/>
        </w:rPr>
        <w:t>které</w:t>
      </w:r>
      <w:r w:rsidR="00142E4D" w:rsidRPr="00142E4D">
        <w:rPr>
          <w:sz w:val="20"/>
        </w:rPr>
        <w:t xml:space="preserve"> vá</w:t>
      </w:r>
      <w:r>
        <w:rPr>
          <w:sz w:val="20"/>
        </w:rPr>
        <w:t>ží CBB G-250</w:t>
      </w:r>
    </w:p>
    <w:p w:rsidR="006410E1" w:rsidRDefault="006410E1" w:rsidP="00142E4D">
      <w:pPr>
        <w:spacing w:line="240" w:lineRule="auto"/>
        <w:ind w:left="357"/>
        <w:rPr>
          <w:sz w:val="20"/>
        </w:rPr>
      </w:pPr>
      <w:proofErr w:type="spellStart"/>
      <w:r>
        <w:rPr>
          <w:sz w:val="20"/>
        </w:rPr>
        <w:t>ii</w:t>
      </w:r>
      <w:proofErr w:type="spellEnd"/>
      <w:r>
        <w:rPr>
          <w:sz w:val="20"/>
        </w:rPr>
        <w:t>) proteiny s </w:t>
      </w:r>
      <w:proofErr w:type="spellStart"/>
      <w:r w:rsidRPr="006410E1">
        <w:rPr>
          <w:sz w:val="20"/>
        </w:rPr>
        <w:t>p</w:t>
      </w:r>
      <w:r>
        <w:rPr>
          <w:sz w:val="20"/>
        </w:rPr>
        <w:t>I</w:t>
      </w:r>
      <w:proofErr w:type="spellEnd"/>
      <w:r>
        <w:rPr>
          <w:sz w:val="20"/>
        </w:rPr>
        <w:t xml:space="preserve"> ≤ 5,4, </w:t>
      </w:r>
      <w:r w:rsidRPr="006410E1">
        <w:rPr>
          <w:sz w:val="20"/>
        </w:rPr>
        <w:t>které</w:t>
      </w:r>
      <w:r w:rsidRPr="00142E4D">
        <w:rPr>
          <w:sz w:val="20"/>
        </w:rPr>
        <w:t xml:space="preserve"> </w:t>
      </w:r>
      <w:r w:rsidR="00F33E7E">
        <w:rPr>
          <w:sz w:val="20"/>
        </w:rPr>
        <w:t>ne</w:t>
      </w:r>
      <w:r w:rsidRPr="00142E4D">
        <w:rPr>
          <w:sz w:val="20"/>
        </w:rPr>
        <w:t>vá</w:t>
      </w:r>
      <w:r>
        <w:rPr>
          <w:sz w:val="20"/>
        </w:rPr>
        <w:t>ží CBB G-250</w:t>
      </w:r>
    </w:p>
    <w:p w:rsidR="006410E1" w:rsidRDefault="006410E1" w:rsidP="00142E4D">
      <w:pPr>
        <w:spacing w:line="240" w:lineRule="auto"/>
        <w:ind w:left="357"/>
        <w:rPr>
          <w:sz w:val="20"/>
        </w:rPr>
      </w:pPr>
    </w:p>
    <w:p w:rsidR="00F33E7E" w:rsidRDefault="00F33E7E" w:rsidP="00F33E7E">
      <w:pPr>
        <w:widowControl/>
        <w:tabs>
          <w:tab w:val="left" w:pos="794"/>
        </w:tabs>
        <w:suppressAutoHyphens/>
        <w:spacing w:line="240" w:lineRule="auto"/>
        <w:ind w:left="360"/>
        <w:rPr>
          <w:sz w:val="20"/>
        </w:rPr>
      </w:pPr>
      <w:bookmarkStart w:id="0" w:name="_Ref162710737"/>
      <w:r>
        <w:rPr>
          <w:sz w:val="20"/>
        </w:rPr>
        <w:t>Reference:</w:t>
      </w:r>
    </w:p>
    <w:p w:rsidR="00F33E7E" w:rsidRPr="00F33E7E" w:rsidRDefault="00F33E7E" w:rsidP="00F33E7E">
      <w:pPr>
        <w:widowControl/>
        <w:tabs>
          <w:tab w:val="left" w:pos="794"/>
        </w:tabs>
        <w:suppressAutoHyphens/>
        <w:spacing w:line="240" w:lineRule="auto"/>
        <w:ind w:left="360"/>
        <w:rPr>
          <w:sz w:val="20"/>
          <w:lang w:val="en-GB"/>
        </w:rPr>
      </w:pPr>
      <w:r w:rsidRPr="00F33E7E">
        <w:rPr>
          <w:sz w:val="20"/>
          <w:lang w:val="en-GB"/>
        </w:rPr>
        <w:t xml:space="preserve">Tracy </w:t>
      </w:r>
      <w:proofErr w:type="spellStart"/>
      <w:r w:rsidRPr="00F33E7E">
        <w:rPr>
          <w:sz w:val="20"/>
          <w:lang w:val="en-GB"/>
        </w:rPr>
        <w:t>McLellan</w:t>
      </w:r>
      <w:proofErr w:type="spellEnd"/>
      <w:r w:rsidRPr="00F33E7E">
        <w:rPr>
          <w:sz w:val="20"/>
          <w:lang w:val="en-GB"/>
        </w:rPr>
        <w:t xml:space="preserve">, Electrophoresis Buffers for </w:t>
      </w:r>
      <w:proofErr w:type="spellStart"/>
      <w:r w:rsidRPr="00F33E7E">
        <w:rPr>
          <w:sz w:val="20"/>
          <w:lang w:val="en-GB"/>
        </w:rPr>
        <w:t>Polyacrylamide</w:t>
      </w:r>
      <w:proofErr w:type="spellEnd"/>
      <w:r w:rsidRPr="00F33E7E">
        <w:rPr>
          <w:sz w:val="20"/>
          <w:lang w:val="en-GB"/>
        </w:rPr>
        <w:t xml:space="preserve"> Gels at Various </w:t>
      </w:r>
      <w:proofErr w:type="gramStart"/>
      <w:r w:rsidRPr="00F33E7E">
        <w:rPr>
          <w:sz w:val="20"/>
          <w:lang w:val="en-GB"/>
        </w:rPr>
        <w:t>pH</w:t>
      </w:r>
      <w:proofErr w:type="gramEnd"/>
      <w:r w:rsidRPr="00F33E7E">
        <w:rPr>
          <w:sz w:val="20"/>
          <w:lang w:val="en-GB"/>
        </w:rPr>
        <w:t xml:space="preserve">, </w:t>
      </w:r>
      <w:r w:rsidRPr="00F33E7E">
        <w:rPr>
          <w:i/>
          <w:iCs/>
          <w:sz w:val="20"/>
          <w:lang w:val="en-GB"/>
        </w:rPr>
        <w:t>Analytical Biochemistry,</w:t>
      </w:r>
      <w:r w:rsidRPr="00F33E7E">
        <w:rPr>
          <w:sz w:val="20"/>
          <w:lang w:val="en-GB"/>
        </w:rPr>
        <w:t xml:space="preserve"> 1982, 126, 94-99</w:t>
      </w:r>
      <w:bookmarkEnd w:id="0"/>
    </w:p>
    <w:p w:rsidR="00F33E7E" w:rsidRPr="00F33E7E" w:rsidRDefault="006410E1" w:rsidP="00F33E7E">
      <w:pPr>
        <w:widowControl/>
        <w:tabs>
          <w:tab w:val="left" w:pos="794"/>
        </w:tabs>
        <w:suppressAutoHyphens/>
        <w:autoSpaceDE w:val="0"/>
        <w:spacing w:line="240" w:lineRule="auto"/>
        <w:ind w:left="360"/>
        <w:rPr>
          <w:color w:val="231F20"/>
          <w:sz w:val="20"/>
          <w:lang w:val="en-GB"/>
        </w:rPr>
      </w:pPr>
      <w:r w:rsidRPr="00F33E7E">
        <w:rPr>
          <w:sz w:val="20"/>
          <w:lang w:val="en-GB"/>
        </w:rPr>
        <w:t xml:space="preserve"> </w:t>
      </w:r>
      <w:bookmarkStart w:id="1" w:name="_Ref162711356"/>
      <w:r w:rsidR="00F33E7E" w:rsidRPr="00F33E7E">
        <w:rPr>
          <w:color w:val="231F20"/>
          <w:sz w:val="20"/>
          <w:lang w:val="en-GB"/>
        </w:rPr>
        <w:t xml:space="preserve">F. Krause, Detection and analysis of protein–protein interactions in </w:t>
      </w:r>
      <w:proofErr w:type="spellStart"/>
      <w:r w:rsidR="00F33E7E" w:rsidRPr="00F33E7E">
        <w:rPr>
          <w:color w:val="231F20"/>
          <w:sz w:val="20"/>
          <w:lang w:val="en-GB"/>
        </w:rPr>
        <w:t>organellar</w:t>
      </w:r>
      <w:proofErr w:type="spellEnd"/>
      <w:r w:rsidR="00F33E7E" w:rsidRPr="00F33E7E">
        <w:rPr>
          <w:color w:val="231F20"/>
          <w:sz w:val="20"/>
          <w:lang w:val="en-GB"/>
        </w:rPr>
        <w:t xml:space="preserve"> and prokaryotic proteomes by native gel electrophoresis: (Membrane) protein complexes and </w:t>
      </w:r>
      <w:proofErr w:type="spellStart"/>
      <w:r w:rsidR="00F33E7E" w:rsidRPr="00F33E7E">
        <w:rPr>
          <w:color w:val="231F20"/>
          <w:sz w:val="20"/>
          <w:lang w:val="en-GB"/>
        </w:rPr>
        <w:t>supercomplexes</w:t>
      </w:r>
      <w:proofErr w:type="spellEnd"/>
      <w:r w:rsidR="00F33E7E" w:rsidRPr="00F33E7E">
        <w:rPr>
          <w:color w:val="231F20"/>
          <w:sz w:val="20"/>
          <w:lang w:val="en-GB"/>
        </w:rPr>
        <w:t xml:space="preserve">, </w:t>
      </w:r>
      <w:r w:rsidR="00F33E7E" w:rsidRPr="00F33E7E">
        <w:rPr>
          <w:i/>
          <w:iCs/>
          <w:color w:val="231F20"/>
          <w:sz w:val="20"/>
          <w:lang w:val="en-GB"/>
        </w:rPr>
        <w:t>Electrophoresis,</w:t>
      </w:r>
      <w:r w:rsidR="00F33E7E" w:rsidRPr="00F33E7E">
        <w:rPr>
          <w:iCs/>
          <w:color w:val="231F20"/>
          <w:sz w:val="20"/>
          <w:lang w:val="en-GB"/>
        </w:rPr>
        <w:t xml:space="preserve"> </w:t>
      </w:r>
      <w:r w:rsidR="00F33E7E" w:rsidRPr="00F33E7E">
        <w:rPr>
          <w:color w:val="231F20"/>
          <w:sz w:val="20"/>
          <w:lang w:val="en-GB"/>
        </w:rPr>
        <w:t>2006, 27,</w:t>
      </w:r>
      <w:r w:rsidR="00F33E7E" w:rsidRPr="00F33E7E">
        <w:rPr>
          <w:iCs/>
          <w:color w:val="231F20"/>
          <w:sz w:val="20"/>
          <w:lang w:val="en-GB"/>
        </w:rPr>
        <w:t xml:space="preserve"> </w:t>
      </w:r>
      <w:r w:rsidR="00F33E7E" w:rsidRPr="00F33E7E">
        <w:rPr>
          <w:color w:val="231F20"/>
          <w:sz w:val="20"/>
          <w:lang w:val="en-GB"/>
        </w:rPr>
        <w:t>2759–2781</w:t>
      </w:r>
      <w:bookmarkEnd w:id="1"/>
    </w:p>
    <w:p w:rsidR="00142E4D" w:rsidRPr="00F33E7E" w:rsidRDefault="00142E4D" w:rsidP="006410E1">
      <w:pPr>
        <w:spacing w:line="240" w:lineRule="auto"/>
        <w:ind w:left="357"/>
        <w:rPr>
          <w:sz w:val="20"/>
        </w:rPr>
      </w:pPr>
    </w:p>
    <w:p w:rsidR="00142E4D" w:rsidRPr="00F33E7E" w:rsidRDefault="00142E4D" w:rsidP="00142E4D">
      <w:pPr>
        <w:spacing w:line="240" w:lineRule="auto"/>
        <w:ind w:left="357"/>
        <w:rPr>
          <w:sz w:val="20"/>
        </w:rPr>
      </w:pPr>
    </w:p>
    <w:p w:rsidR="00CA5F78" w:rsidRDefault="00CA5F78" w:rsidP="00EF5695">
      <w:pPr>
        <w:pStyle w:val="Bezmezer"/>
        <w:tabs>
          <w:tab w:val="left" w:pos="900"/>
        </w:tabs>
        <w:spacing w:after="200"/>
        <w:ind w:left="360"/>
        <w:rPr>
          <w:rFonts w:ascii="Times New Roman" w:hAnsi="Times New Roman"/>
          <w:b/>
          <w:bCs/>
          <w:iCs/>
        </w:rPr>
      </w:pPr>
      <w:r>
        <w:rPr>
          <w:sz w:val="20"/>
          <w:lang w:val="fr-FR"/>
        </w:rPr>
        <w:br w:type="page"/>
      </w:r>
      <w:r>
        <w:rPr>
          <w:rFonts w:ascii="Times New Roman" w:hAnsi="Times New Roman"/>
          <w:b/>
          <w:bCs/>
          <w:iCs/>
        </w:rPr>
        <w:lastRenderedPageBreak/>
        <w:t>5.</w:t>
      </w:r>
      <w:r>
        <w:rPr>
          <w:rFonts w:ascii="Times New Roman" w:hAnsi="Times New Roman"/>
          <w:b/>
          <w:bCs/>
          <w:iCs/>
        </w:rPr>
        <w:tab/>
        <w:t>Vzorce pro vyhodnocení LOD a LOQ</w:t>
      </w:r>
    </w:p>
    <w:p w:rsidR="00CA5F78" w:rsidRDefault="00CA5F78" w:rsidP="00EF5695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966E60" w:rsidRPr="00966E60" w:rsidRDefault="00966E60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  <w:r w:rsidRPr="00966E60">
        <w:rPr>
          <w:b/>
          <w:bCs/>
          <w:sz w:val="20"/>
        </w:rPr>
        <w:t>Mez detekce (limit detekce</w:t>
      </w:r>
      <w:r w:rsidR="00650DD9">
        <w:rPr>
          <w:b/>
          <w:bCs/>
          <w:sz w:val="20"/>
        </w:rPr>
        <w:t>, LOD</w:t>
      </w:r>
      <w:r w:rsidRPr="00966E60">
        <w:rPr>
          <w:b/>
          <w:bCs/>
          <w:sz w:val="20"/>
        </w:rPr>
        <w:t xml:space="preserve">) </w:t>
      </w:r>
      <w:r w:rsidRPr="00966E60">
        <w:rPr>
          <w:sz w:val="20"/>
        </w:rPr>
        <w:t xml:space="preserve">– </w:t>
      </w:r>
      <w:r w:rsidR="002F337C">
        <w:rPr>
          <w:sz w:val="20"/>
        </w:rPr>
        <w:t xml:space="preserve">je </w:t>
      </w:r>
      <w:r w:rsidRPr="00966E60">
        <w:rPr>
          <w:sz w:val="20"/>
        </w:rPr>
        <w:t>definována jako nej</w:t>
      </w:r>
      <w:r w:rsidR="002A195E">
        <w:rPr>
          <w:sz w:val="20"/>
        </w:rPr>
        <w:t>nižší relevantní</w:t>
      </w:r>
      <w:r w:rsidRPr="00966E60">
        <w:rPr>
          <w:sz w:val="20"/>
        </w:rPr>
        <w:t xml:space="preserve"> detekovatelné (danou metodou) množství</w:t>
      </w:r>
      <w:r>
        <w:rPr>
          <w:sz w:val="20"/>
        </w:rPr>
        <w:t xml:space="preserve"> </w:t>
      </w:r>
      <w:proofErr w:type="spellStart"/>
      <w:r w:rsidRPr="00966E60">
        <w:rPr>
          <w:sz w:val="20"/>
        </w:rPr>
        <w:t>analytu</w:t>
      </w:r>
      <w:proofErr w:type="spellEnd"/>
      <w:r w:rsidR="00805A33">
        <w:rPr>
          <w:sz w:val="20"/>
        </w:rPr>
        <w:t>. LOD lze</w:t>
      </w:r>
      <w:r w:rsidRPr="00966E60">
        <w:rPr>
          <w:sz w:val="20"/>
        </w:rPr>
        <w:t xml:space="preserve"> vypočítat různými způsoby</w:t>
      </w:r>
      <w:r w:rsidR="00805A33">
        <w:rPr>
          <w:sz w:val="20"/>
        </w:rPr>
        <w:t>, kdy samotná volba</w:t>
      </w:r>
      <w:r w:rsidR="00650DD9">
        <w:rPr>
          <w:sz w:val="20"/>
        </w:rPr>
        <w:t xml:space="preserve"> výpočtu </w:t>
      </w:r>
      <w:r w:rsidR="00805A33">
        <w:rPr>
          <w:sz w:val="20"/>
        </w:rPr>
        <w:t>vychází i z použité</w:t>
      </w:r>
      <w:r w:rsidR="00650DD9">
        <w:rPr>
          <w:sz w:val="20"/>
        </w:rPr>
        <w:t xml:space="preserve"> analytick</w:t>
      </w:r>
      <w:r w:rsidR="00805A33">
        <w:rPr>
          <w:sz w:val="20"/>
        </w:rPr>
        <w:t>é</w:t>
      </w:r>
      <w:r w:rsidR="00650DD9">
        <w:rPr>
          <w:sz w:val="20"/>
        </w:rPr>
        <w:t xml:space="preserve"> metod</w:t>
      </w:r>
      <w:r w:rsidR="00805A33">
        <w:rPr>
          <w:sz w:val="20"/>
        </w:rPr>
        <w:t>y</w:t>
      </w:r>
      <w:r w:rsidR="00650DD9">
        <w:rPr>
          <w:sz w:val="20"/>
        </w:rPr>
        <w:t xml:space="preserve">. </w:t>
      </w:r>
      <w:r w:rsidRPr="00966E60">
        <w:rPr>
          <w:sz w:val="20"/>
        </w:rPr>
        <w:t>Pravidlem pro vyhodnocení</w:t>
      </w:r>
      <w:r w:rsidR="00650DD9">
        <w:rPr>
          <w:sz w:val="20"/>
        </w:rPr>
        <w:t xml:space="preserve"> LOD</w:t>
      </w:r>
      <w:r w:rsidR="002F337C">
        <w:rPr>
          <w:sz w:val="20"/>
        </w:rPr>
        <w:t>, LOQ</w:t>
      </w:r>
      <w:r w:rsidRPr="00966E60">
        <w:rPr>
          <w:sz w:val="20"/>
        </w:rPr>
        <w:t xml:space="preserve"> je sjednocení výpočtu pro veškeré experimenty v daném souboru, k</w:t>
      </w:r>
      <w:r w:rsidR="00650DD9">
        <w:rPr>
          <w:sz w:val="20"/>
        </w:rPr>
        <w:t>dy k</w:t>
      </w:r>
      <w:r w:rsidRPr="00966E60">
        <w:rPr>
          <w:sz w:val="20"/>
        </w:rPr>
        <w:t xml:space="preserve"> výpočtu </w:t>
      </w:r>
      <w:r w:rsidR="00650DD9">
        <w:rPr>
          <w:sz w:val="20"/>
        </w:rPr>
        <w:t>se použije</w:t>
      </w:r>
      <w:r w:rsidRPr="00966E60">
        <w:rPr>
          <w:sz w:val="20"/>
        </w:rPr>
        <w:t xml:space="preserve"> ten v</w:t>
      </w:r>
      <w:r w:rsidR="00650DD9">
        <w:rPr>
          <w:sz w:val="20"/>
        </w:rPr>
        <w:t>zorec</w:t>
      </w:r>
      <w:r w:rsidRPr="00966E60">
        <w:rPr>
          <w:sz w:val="20"/>
        </w:rPr>
        <w:t xml:space="preserve">, který nám poskytne nejnižší hodnotu </w:t>
      </w:r>
      <w:r w:rsidR="002F337C">
        <w:rPr>
          <w:sz w:val="20"/>
        </w:rPr>
        <w:t>tohoto limitu</w:t>
      </w:r>
      <w:r w:rsidRPr="00966E60">
        <w:rPr>
          <w:sz w:val="20"/>
        </w:rPr>
        <w:t>.</w:t>
      </w:r>
    </w:p>
    <w:p w:rsidR="00650DD9" w:rsidRDefault="00650DD9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650DD9" w:rsidRPr="00805A33" w:rsidRDefault="00650DD9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i/>
          <w:sz w:val="20"/>
        </w:rPr>
      </w:pPr>
      <w:r w:rsidRPr="00805A33">
        <w:rPr>
          <w:i/>
          <w:sz w:val="20"/>
        </w:rPr>
        <w:t xml:space="preserve">U kvantitativních separačních metod, jejichž </w:t>
      </w:r>
      <w:r w:rsidR="007E5746" w:rsidRPr="00805A33">
        <w:rPr>
          <w:i/>
          <w:sz w:val="20"/>
        </w:rPr>
        <w:t>výs</w:t>
      </w:r>
      <w:r w:rsidRPr="00805A33">
        <w:rPr>
          <w:i/>
          <w:sz w:val="20"/>
        </w:rPr>
        <w:t>tupem z detektoru je pík (elektromigrační, chromatografické metody)</w:t>
      </w:r>
      <w:r w:rsidR="00805A33" w:rsidRPr="00805A33">
        <w:rPr>
          <w:i/>
          <w:sz w:val="20"/>
        </w:rPr>
        <w:t xml:space="preserve"> a můžeme odečíst jeho výšku</w:t>
      </w:r>
      <w:r w:rsidR="007E5746" w:rsidRPr="00805A33">
        <w:rPr>
          <w:i/>
          <w:sz w:val="20"/>
        </w:rPr>
        <w:t>, se</w:t>
      </w:r>
      <w:r w:rsidRPr="00805A33">
        <w:rPr>
          <w:i/>
          <w:sz w:val="20"/>
        </w:rPr>
        <w:t xml:space="preserve"> postupuje následovně:</w:t>
      </w:r>
    </w:p>
    <w:p w:rsidR="00650DD9" w:rsidRDefault="00155B5F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  <w:r>
        <w:rPr>
          <w:sz w:val="20"/>
        </w:rPr>
        <w:t>–</w:t>
      </w:r>
      <w:r w:rsidR="009E21B8">
        <w:rPr>
          <w:sz w:val="20"/>
        </w:rPr>
        <w:t xml:space="preserve"> ze záznamu slepého pokusu se určí maximální kolísání základní linie (</w:t>
      </w:r>
      <w:proofErr w:type="spellStart"/>
      <w:r w:rsidR="009E21B8">
        <w:rPr>
          <w:sz w:val="20"/>
        </w:rPr>
        <w:t>h</w:t>
      </w:r>
      <w:r w:rsidR="009E21B8">
        <w:rPr>
          <w:sz w:val="20"/>
          <w:vertAlign w:val="subscript"/>
        </w:rPr>
        <w:t>max</w:t>
      </w:r>
      <w:proofErr w:type="spellEnd"/>
      <w:r w:rsidR="009E21B8">
        <w:rPr>
          <w:sz w:val="20"/>
        </w:rPr>
        <w:t xml:space="preserve">) v oblasti dané </w:t>
      </w:r>
      <w:proofErr w:type="gramStart"/>
      <w:r w:rsidR="009E21B8">
        <w:rPr>
          <w:sz w:val="20"/>
        </w:rPr>
        <w:t>20</w:t>
      </w:r>
      <w:proofErr w:type="gramEnd"/>
      <w:r w:rsidR="009E21B8">
        <w:rPr>
          <w:sz w:val="20"/>
        </w:rPr>
        <w:t>-</w:t>
      </w:r>
      <w:proofErr w:type="gramStart"/>
      <w:r w:rsidR="009E21B8">
        <w:rPr>
          <w:sz w:val="20"/>
        </w:rPr>
        <w:t>ti</w:t>
      </w:r>
      <w:proofErr w:type="gramEnd"/>
      <w:r w:rsidR="009E21B8">
        <w:rPr>
          <w:sz w:val="20"/>
        </w:rPr>
        <w:t xml:space="preserve"> násobkem </w:t>
      </w:r>
      <w:proofErr w:type="spellStart"/>
      <w:r w:rsidR="009E21B8">
        <w:rPr>
          <w:sz w:val="20"/>
        </w:rPr>
        <w:t>pološířky</w:t>
      </w:r>
      <w:proofErr w:type="spellEnd"/>
      <w:r w:rsidR="009E21B8">
        <w:rPr>
          <w:sz w:val="20"/>
        </w:rPr>
        <w:t xml:space="preserve"> píku stanovovaného </w:t>
      </w:r>
      <w:proofErr w:type="spellStart"/>
      <w:r w:rsidR="009E21B8">
        <w:rPr>
          <w:sz w:val="20"/>
        </w:rPr>
        <w:t>analytu</w:t>
      </w:r>
      <w:proofErr w:type="spellEnd"/>
      <w:r w:rsidR="009E21B8">
        <w:rPr>
          <w:sz w:val="20"/>
        </w:rPr>
        <w:t>.</w:t>
      </w:r>
    </w:p>
    <w:p w:rsidR="009E21B8" w:rsidRDefault="00155B5F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  <w:r>
        <w:rPr>
          <w:sz w:val="20"/>
        </w:rPr>
        <w:t>–</w:t>
      </w:r>
      <w:r w:rsidR="009E21B8">
        <w:rPr>
          <w:sz w:val="20"/>
        </w:rPr>
        <w:t xml:space="preserve"> pro odezvu detekovaného množství </w:t>
      </w:r>
      <w:proofErr w:type="spellStart"/>
      <w:r w:rsidR="009E21B8">
        <w:rPr>
          <w:sz w:val="20"/>
        </w:rPr>
        <w:t>analytu</w:t>
      </w:r>
      <w:proofErr w:type="spellEnd"/>
      <w:r w:rsidR="009E21B8">
        <w:rPr>
          <w:sz w:val="20"/>
        </w:rPr>
        <w:t xml:space="preserve"> pak platí:</w:t>
      </w:r>
    </w:p>
    <w:p w:rsidR="009E21B8" w:rsidRDefault="009E21B8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9E21B8" w:rsidRDefault="009E21B8" w:rsidP="00EF5695">
      <w:pPr>
        <w:widowControl/>
        <w:autoSpaceDE w:val="0"/>
        <w:autoSpaceDN w:val="0"/>
        <w:adjustRightInd w:val="0"/>
        <w:spacing w:line="240" w:lineRule="auto"/>
        <w:ind w:left="360"/>
        <w:jc w:val="center"/>
        <w:rPr>
          <w:sz w:val="20"/>
        </w:rPr>
      </w:pPr>
    </w:p>
    <w:p w:rsidR="009E21B8" w:rsidRPr="00B355E9" w:rsidRDefault="00B65A32" w:rsidP="00EF5695">
      <w:pPr>
        <w:widowControl/>
        <w:autoSpaceDE w:val="0"/>
        <w:autoSpaceDN w:val="0"/>
        <w:adjustRightInd w:val="0"/>
        <w:spacing w:line="240" w:lineRule="auto"/>
        <w:ind w:left="360"/>
        <w:jc w:val="center"/>
        <w:rPr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LOD=n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max</m:t>
                  </m:r>
                </m:sub>
              </m:sSub>
            </m:num>
            <m:den>
              <m:r>
                <w:rPr>
                  <w:rFonts w:ascii="Cambria Math" w:hAnsi="Cambria Math"/>
                  <w:szCs w:val="24"/>
                </w:rPr>
                <m:t>b</m:t>
              </m:r>
            </m:den>
          </m:f>
        </m:oMath>
      </m:oMathPara>
    </w:p>
    <w:p w:rsidR="00B355E9" w:rsidRDefault="00B355E9" w:rsidP="00EF5695">
      <w:pPr>
        <w:widowControl/>
        <w:autoSpaceDE w:val="0"/>
        <w:autoSpaceDN w:val="0"/>
        <w:adjustRightInd w:val="0"/>
        <w:spacing w:line="240" w:lineRule="auto"/>
        <w:ind w:left="360"/>
        <w:jc w:val="center"/>
        <w:rPr>
          <w:sz w:val="20"/>
        </w:rPr>
      </w:pPr>
    </w:p>
    <w:p w:rsidR="009E21B8" w:rsidRPr="00B65A32" w:rsidRDefault="00B65A32" w:rsidP="00B65A32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  <w:r>
        <w:rPr>
          <w:sz w:val="20"/>
        </w:rPr>
        <w:t xml:space="preserve">kde </w:t>
      </w:r>
      <w:r>
        <w:rPr>
          <w:i/>
          <w:sz w:val="20"/>
        </w:rPr>
        <w:t>n</w:t>
      </w:r>
      <w:r>
        <w:rPr>
          <w:sz w:val="20"/>
        </w:rPr>
        <w:t xml:space="preserve"> = 1, 2 nebo 3 dle literatury</w:t>
      </w:r>
      <w:r w:rsidR="009E21B8">
        <w:rPr>
          <w:sz w:val="20"/>
        </w:rPr>
        <w:t>.</w:t>
      </w:r>
      <w:r>
        <w:rPr>
          <w:sz w:val="20"/>
        </w:rPr>
        <w:t xml:space="preserve"> Ovšem maximální kolísání – rozkmit je zřejmě blízký hodnotě tří směrodatných odchylek kolísání základní linie, tudíž volíme </w:t>
      </w:r>
      <w:r>
        <w:rPr>
          <w:i/>
          <w:sz w:val="20"/>
        </w:rPr>
        <w:t>n</w:t>
      </w:r>
      <w:r>
        <w:rPr>
          <w:sz w:val="20"/>
        </w:rPr>
        <w:t xml:space="preserve"> = 1.</w:t>
      </w:r>
      <w:r w:rsidR="009E21B8" w:rsidRPr="006F57B3">
        <w:rPr>
          <w:sz w:val="20"/>
          <w:lang w:val="fr-FR"/>
        </w:rPr>
        <w:t xml:space="preserve"> </w:t>
      </w:r>
      <w:r w:rsidR="009E21B8">
        <w:rPr>
          <w:i/>
          <w:sz w:val="20"/>
          <w:lang w:val="fr-FR"/>
        </w:rPr>
        <w:t>y</w:t>
      </w:r>
      <w:r w:rsidR="009E21B8" w:rsidRPr="006F57B3">
        <w:rPr>
          <w:sz w:val="20"/>
          <w:lang w:val="fr-FR"/>
        </w:rPr>
        <w:t xml:space="preserve"> je </w:t>
      </w:r>
      <w:r w:rsidR="009E21B8" w:rsidRPr="0037145A">
        <w:rPr>
          <w:b/>
          <w:sz w:val="20"/>
          <w:lang w:val="fr-FR"/>
        </w:rPr>
        <w:t>výška</w:t>
      </w:r>
      <w:r w:rsidR="009E21B8">
        <w:rPr>
          <w:sz w:val="20"/>
          <w:lang w:val="fr-FR"/>
        </w:rPr>
        <w:t xml:space="preserve"> píku</w:t>
      </w:r>
      <w:r w:rsidR="009E21B8" w:rsidRPr="006F57B3">
        <w:rPr>
          <w:color w:val="000000"/>
          <w:sz w:val="20"/>
          <w:lang w:val="fr-FR"/>
        </w:rPr>
        <w:t xml:space="preserve"> analytu</w:t>
      </w:r>
      <w:r w:rsidR="009E21B8" w:rsidRPr="002A195E">
        <w:rPr>
          <w:sz w:val="20"/>
          <w:lang w:val="fr-FR"/>
        </w:rPr>
        <w:t xml:space="preserve">, </w:t>
      </w:r>
      <w:r w:rsidR="002A195E">
        <w:rPr>
          <w:i/>
          <w:sz w:val="20"/>
          <w:lang w:val="fr-FR"/>
        </w:rPr>
        <w:t>h</w:t>
      </w:r>
      <w:r w:rsidR="002A195E">
        <w:rPr>
          <w:sz w:val="20"/>
          <w:vertAlign w:val="subscript"/>
          <w:lang w:val="fr-FR"/>
        </w:rPr>
        <w:t>max</w:t>
      </w:r>
      <w:r w:rsidR="002A195E" w:rsidRPr="002A195E">
        <w:rPr>
          <w:sz w:val="20"/>
          <w:lang w:val="fr-FR"/>
        </w:rPr>
        <w:t xml:space="preserve"> je </w:t>
      </w:r>
      <w:r w:rsidR="002A195E">
        <w:rPr>
          <w:sz w:val="20"/>
          <w:lang w:val="fr-FR"/>
        </w:rPr>
        <w:t xml:space="preserve">maximální kolísání základní linie a </w:t>
      </w:r>
      <w:r w:rsidR="009E21B8" w:rsidRPr="002A195E">
        <w:rPr>
          <w:i/>
          <w:sz w:val="20"/>
          <w:lang w:val="fr-FR"/>
        </w:rPr>
        <w:t>b</w:t>
      </w:r>
      <w:r w:rsidR="009E21B8" w:rsidRPr="002A195E">
        <w:rPr>
          <w:sz w:val="20"/>
          <w:lang w:val="fr-FR"/>
        </w:rPr>
        <w:t xml:space="preserve"> je směrnice kalibrační přímky</w:t>
      </w:r>
      <w:r w:rsidR="0037145A">
        <w:rPr>
          <w:sz w:val="20"/>
          <w:lang w:val="fr-FR"/>
        </w:rPr>
        <w:t xml:space="preserve"> pro </w:t>
      </w:r>
      <w:r w:rsidR="0037145A" w:rsidRPr="0037145A">
        <w:rPr>
          <w:b/>
          <w:sz w:val="20"/>
          <w:lang w:val="fr-FR"/>
        </w:rPr>
        <w:t>nízké</w:t>
      </w:r>
      <w:r w:rsidR="0037145A">
        <w:rPr>
          <w:sz w:val="20"/>
          <w:lang w:val="fr-FR"/>
        </w:rPr>
        <w:t xml:space="preserve"> koncentrace: </w:t>
      </w:r>
      <w:r w:rsidR="0037145A" w:rsidRPr="0037145A">
        <w:rPr>
          <w:i/>
          <w:sz w:val="20"/>
          <w:lang w:val="fr-FR"/>
        </w:rPr>
        <w:t>y = bx + a</w:t>
      </w:r>
    </w:p>
    <w:p w:rsidR="002A195E" w:rsidRDefault="002A195E" w:rsidP="00EF5695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805A33" w:rsidRDefault="00805A33" w:rsidP="00EF5695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805A33" w:rsidRDefault="00805A33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i/>
          <w:sz w:val="20"/>
        </w:rPr>
      </w:pPr>
      <w:r w:rsidRPr="00805A33">
        <w:rPr>
          <w:i/>
          <w:sz w:val="20"/>
        </w:rPr>
        <w:t>U ostatních kvantitativních metod, kde hodnotíme závislost intenzity (plochy) na vzrůstající koncentraci, se postupuje následovně:</w:t>
      </w:r>
    </w:p>
    <w:p w:rsidR="00D06CB6" w:rsidRDefault="00D06CB6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  <w:proofErr w:type="gramStart"/>
      <w:r>
        <w:rPr>
          <w:sz w:val="20"/>
        </w:rPr>
        <w:t>–  koncentrační</w:t>
      </w:r>
      <w:proofErr w:type="gramEnd"/>
      <w:r>
        <w:rPr>
          <w:sz w:val="20"/>
        </w:rPr>
        <w:t xml:space="preserve"> závislost je ve formě </w:t>
      </w:r>
      <w:r w:rsidRPr="00155B5F">
        <w:rPr>
          <w:i/>
          <w:sz w:val="20"/>
        </w:rPr>
        <w:t>y = </w:t>
      </w:r>
      <w:proofErr w:type="spellStart"/>
      <w:r w:rsidRPr="00155B5F">
        <w:rPr>
          <w:i/>
          <w:sz w:val="20"/>
        </w:rPr>
        <w:t>bx</w:t>
      </w:r>
      <w:proofErr w:type="spellEnd"/>
      <w:r w:rsidR="00B355E9">
        <w:rPr>
          <w:i/>
          <w:sz w:val="20"/>
        </w:rPr>
        <w:t xml:space="preserve"> + a</w:t>
      </w:r>
      <w:r>
        <w:rPr>
          <w:sz w:val="20"/>
        </w:rPr>
        <w:t>, limit detekce vypočteme podle vzorce:</w:t>
      </w:r>
    </w:p>
    <w:p w:rsidR="00D06CB6" w:rsidRDefault="00D06CB6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D06CB6" w:rsidRDefault="00677F4D" w:rsidP="00D06CB6">
      <w:pPr>
        <w:widowControl/>
        <w:autoSpaceDE w:val="0"/>
        <w:autoSpaceDN w:val="0"/>
        <w:adjustRightInd w:val="0"/>
        <w:spacing w:line="240" w:lineRule="auto"/>
        <w:ind w:left="360"/>
        <w:jc w:val="center"/>
        <w:rPr>
          <w:sz w:val="20"/>
        </w:rPr>
      </w:pPr>
      <m:oMathPara>
        <m:oMath>
          <m:r>
            <w:rPr>
              <w:rFonts w:ascii="Cambria Math" w:hAnsi="Cambria Math"/>
              <w:szCs w:val="24"/>
            </w:rPr>
            <m:t>LOD=</m:t>
          </m:r>
          <m:r>
            <w:rPr>
              <w:rFonts w:ascii="Cambria Math" w:hAnsi="Cambria Math"/>
              <w:szCs w:val="24"/>
            </w:rPr>
            <m:t>3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s</m:t>
              </m:r>
            </m:num>
            <m:den>
              <m:r>
                <w:rPr>
                  <w:rFonts w:ascii="Cambria Math" w:hAnsi="Cambria Math"/>
                  <w:szCs w:val="24"/>
                </w:rPr>
                <m:t>b</m:t>
              </m:r>
            </m:den>
          </m:f>
        </m:oMath>
      </m:oMathPara>
    </w:p>
    <w:p w:rsidR="00D06CB6" w:rsidRPr="00D06CB6" w:rsidRDefault="00D06CB6" w:rsidP="00D06CB6">
      <w:pPr>
        <w:widowControl/>
        <w:autoSpaceDE w:val="0"/>
        <w:autoSpaceDN w:val="0"/>
        <w:adjustRightInd w:val="0"/>
        <w:spacing w:line="240" w:lineRule="auto"/>
        <w:ind w:left="360"/>
        <w:jc w:val="center"/>
        <w:rPr>
          <w:sz w:val="20"/>
        </w:rPr>
      </w:pPr>
    </w:p>
    <w:p w:rsidR="008D6855" w:rsidRPr="0037145A" w:rsidRDefault="008D6855" w:rsidP="00EF5695">
      <w:pPr>
        <w:tabs>
          <w:tab w:val="left" w:pos="900"/>
        </w:tabs>
        <w:spacing w:line="240" w:lineRule="auto"/>
        <w:ind w:left="360"/>
        <w:rPr>
          <w:sz w:val="20"/>
          <w:lang w:val="fr-FR"/>
        </w:rPr>
      </w:pPr>
      <w:r w:rsidRPr="006F57B3">
        <w:rPr>
          <w:i/>
          <w:iCs/>
          <w:sz w:val="20"/>
          <w:lang w:val="fr-FR"/>
        </w:rPr>
        <w:t>kde</w:t>
      </w:r>
      <w:r w:rsidRPr="006F57B3">
        <w:rPr>
          <w:sz w:val="20"/>
          <w:lang w:val="fr-FR"/>
        </w:rPr>
        <w:t>:</w:t>
      </w:r>
      <w:r w:rsidR="00677F4D">
        <w:rPr>
          <w:sz w:val="20"/>
          <w:lang w:val="fr-FR"/>
        </w:rPr>
        <w:t xml:space="preserve"> </w:t>
      </w:r>
      <w:r w:rsidR="00677F4D">
        <w:rPr>
          <w:i/>
          <w:sz w:val="20"/>
          <w:lang w:val="fr-FR"/>
        </w:rPr>
        <w:t xml:space="preserve">s </w:t>
      </w:r>
      <w:r w:rsidR="00677F4D" w:rsidRPr="00677F4D">
        <w:rPr>
          <w:sz w:val="20"/>
          <w:lang w:val="fr-FR"/>
        </w:rPr>
        <w:t>může být</w:t>
      </w:r>
      <w:r w:rsidRPr="006F57B3">
        <w:rPr>
          <w:sz w:val="20"/>
          <w:lang w:val="fr-FR"/>
        </w:rPr>
        <w:t xml:space="preserve"> </w:t>
      </w:r>
      <w:r w:rsidRPr="008D6855">
        <w:rPr>
          <w:i/>
          <w:sz w:val="20"/>
          <w:lang w:val="fr-FR"/>
        </w:rPr>
        <w:t>s</w:t>
      </w:r>
      <w:r>
        <w:rPr>
          <w:i/>
          <w:sz w:val="20"/>
          <w:vertAlign w:val="subscript"/>
          <w:lang w:val="fr-FR"/>
        </w:rPr>
        <w:t>y,x</w:t>
      </w:r>
      <w:r w:rsidR="00677F4D">
        <w:rPr>
          <w:sz w:val="20"/>
          <w:lang w:val="fr-FR"/>
        </w:rPr>
        <w:t xml:space="preserve"> -</w:t>
      </w:r>
      <w:r w:rsidRPr="006F57B3">
        <w:rPr>
          <w:sz w:val="20"/>
          <w:lang w:val="fr-FR"/>
        </w:rPr>
        <w:t xml:space="preserve"> </w:t>
      </w:r>
      <w:r>
        <w:rPr>
          <w:sz w:val="20"/>
          <w:lang w:val="fr-FR"/>
        </w:rPr>
        <w:t>residuální směrodatná odchylka</w:t>
      </w:r>
      <w:r w:rsidR="00D06CB6">
        <w:rPr>
          <w:sz w:val="20"/>
          <w:lang w:val="fr-FR"/>
        </w:rPr>
        <w:t>,</w:t>
      </w:r>
      <w:r w:rsidR="00677F4D">
        <w:rPr>
          <w:sz w:val="20"/>
          <w:lang w:val="fr-FR"/>
        </w:rPr>
        <w:t xml:space="preserve"> kdy je LOD silně ovlivněn velikostí rozptylu bodů kolem kalirační přímky a může být nereálně vysoký,</w:t>
      </w:r>
      <w:r w:rsidR="00D06CB6">
        <w:rPr>
          <w:sz w:val="20"/>
          <w:lang w:val="fr-FR"/>
        </w:rPr>
        <w:t xml:space="preserve"> </w:t>
      </w:r>
      <w:r w:rsidR="00D06CB6">
        <w:rPr>
          <w:i/>
          <w:sz w:val="20"/>
          <w:lang w:val="fr-FR"/>
        </w:rPr>
        <w:t>a</w:t>
      </w:r>
      <w:r w:rsidR="00D06CB6">
        <w:rPr>
          <w:sz w:val="20"/>
          <w:lang w:val="fr-FR"/>
        </w:rPr>
        <w:t xml:space="preserve"> je úsek</w:t>
      </w:r>
      <w:r>
        <w:rPr>
          <w:sz w:val="20"/>
          <w:lang w:val="fr-FR"/>
        </w:rPr>
        <w:t xml:space="preserve"> a </w:t>
      </w:r>
      <w:r w:rsidRPr="008D6855">
        <w:rPr>
          <w:i/>
          <w:sz w:val="20"/>
          <w:lang w:val="fr-FR"/>
        </w:rPr>
        <w:t>b</w:t>
      </w:r>
      <w:r>
        <w:rPr>
          <w:sz w:val="20"/>
          <w:lang w:val="fr-FR"/>
        </w:rPr>
        <w:t xml:space="preserve"> </w:t>
      </w:r>
      <w:r w:rsidRPr="002A195E">
        <w:rPr>
          <w:sz w:val="20"/>
          <w:lang w:val="fr-FR"/>
        </w:rPr>
        <w:t>směrnice kalibrační přímky</w:t>
      </w:r>
      <w:r>
        <w:rPr>
          <w:sz w:val="20"/>
          <w:lang w:val="fr-FR"/>
        </w:rPr>
        <w:t xml:space="preserve"> (závislost plochy </w:t>
      </w:r>
      <w:r w:rsidR="00677F4D">
        <w:rPr>
          <w:sz w:val="20"/>
          <w:lang w:val="fr-FR"/>
        </w:rPr>
        <w:t xml:space="preserve">nebo výšky píku </w:t>
      </w:r>
      <w:r>
        <w:rPr>
          <w:sz w:val="20"/>
          <w:lang w:val="fr-FR"/>
        </w:rPr>
        <w:t>na koncentraci).</w:t>
      </w:r>
      <w:r w:rsidR="00A75727">
        <w:rPr>
          <w:sz w:val="20"/>
          <w:lang w:val="fr-FR"/>
        </w:rPr>
        <w:t xml:space="preserve"> </w:t>
      </w:r>
      <w:r w:rsidR="00686792">
        <w:rPr>
          <w:sz w:val="20"/>
          <w:lang w:val="fr-FR"/>
        </w:rPr>
        <w:t xml:space="preserve">Pozor ! </w:t>
      </w:r>
      <w:r w:rsidR="00686792" w:rsidRPr="00686792">
        <w:rPr>
          <w:i/>
          <w:sz w:val="20"/>
          <w:lang w:val="fr-FR"/>
        </w:rPr>
        <w:t>LOD</w:t>
      </w:r>
      <w:r w:rsidR="00686792">
        <w:rPr>
          <w:sz w:val="20"/>
          <w:lang w:val="fr-FR"/>
        </w:rPr>
        <w:t xml:space="preserve"> nezávisí na velikosti </w:t>
      </w:r>
      <w:r w:rsidR="00686792">
        <w:rPr>
          <w:i/>
          <w:sz w:val="20"/>
          <w:lang w:val="fr-FR"/>
        </w:rPr>
        <w:t>a </w:t>
      </w:r>
      <w:r w:rsidR="00B355E9">
        <w:rPr>
          <w:sz w:val="20"/>
          <w:lang w:val="fr-FR"/>
        </w:rPr>
        <w:t>, i když</w:t>
      </w:r>
      <w:r w:rsidR="00686792">
        <w:rPr>
          <w:sz w:val="20"/>
          <w:lang w:val="fr-FR"/>
        </w:rPr>
        <w:t xml:space="preserve"> při nulové koncentraci naměříme signál o </w:t>
      </w:r>
      <w:r w:rsidR="00EB1A75">
        <w:rPr>
          <w:sz w:val="20"/>
          <w:lang w:val="fr-FR"/>
        </w:rPr>
        <w:t xml:space="preserve">střední </w:t>
      </w:r>
      <w:r w:rsidR="00686792">
        <w:rPr>
          <w:sz w:val="20"/>
          <w:lang w:val="fr-FR"/>
        </w:rPr>
        <w:t xml:space="preserve">velikosti </w:t>
      </w:r>
      <w:r w:rsidR="00686792">
        <w:rPr>
          <w:i/>
          <w:sz w:val="20"/>
          <w:lang w:val="fr-FR"/>
        </w:rPr>
        <w:t>a</w:t>
      </w:r>
      <w:r w:rsidR="00686792">
        <w:rPr>
          <w:sz w:val="20"/>
          <w:lang w:val="fr-FR"/>
        </w:rPr>
        <w:t xml:space="preserve">. </w:t>
      </w:r>
      <w:r w:rsidR="00686792" w:rsidRPr="00D5592E">
        <w:rPr>
          <w:i/>
          <w:sz w:val="20"/>
          <w:lang w:val="fr-FR"/>
        </w:rPr>
        <w:t>LOD</w:t>
      </w:r>
      <w:r w:rsidR="00686792">
        <w:rPr>
          <w:sz w:val="20"/>
          <w:lang w:val="fr-FR"/>
        </w:rPr>
        <w:t xml:space="preserve"> závisí na šumu (vyjádřeném jako </w:t>
      </w:r>
      <w:r w:rsidR="00686792">
        <w:rPr>
          <w:i/>
          <w:sz w:val="20"/>
          <w:lang w:val="fr-FR"/>
        </w:rPr>
        <w:t>s</w:t>
      </w:r>
      <w:r w:rsidR="00686792">
        <w:rPr>
          <w:i/>
          <w:sz w:val="20"/>
          <w:vertAlign w:val="subscript"/>
          <w:lang w:val="fr-FR"/>
        </w:rPr>
        <w:t>a</w:t>
      </w:r>
      <w:r w:rsidR="00686792">
        <w:rPr>
          <w:sz w:val="20"/>
          <w:lang w:val="fr-FR"/>
        </w:rPr>
        <w:t xml:space="preserve">) a na směrnici kalibrační závislosti v blízkosti nulového signálu. </w:t>
      </w:r>
      <w:r w:rsidR="00677F4D">
        <w:rPr>
          <w:sz w:val="20"/>
          <w:lang w:val="fr-FR"/>
        </w:rPr>
        <w:t xml:space="preserve">Lze tedy také volit </w:t>
      </w:r>
      <w:r w:rsidR="00677F4D" w:rsidRPr="00677F4D">
        <w:rPr>
          <w:i/>
          <w:sz w:val="20"/>
          <w:lang w:val="fr-FR"/>
        </w:rPr>
        <w:t xml:space="preserve">s </w:t>
      </w:r>
      <w:r w:rsidR="00677F4D">
        <w:rPr>
          <w:sz w:val="20"/>
          <w:lang w:val="fr-FR"/>
        </w:rPr>
        <w:t xml:space="preserve">= </w:t>
      </w:r>
      <w:r w:rsidR="00677F4D">
        <w:rPr>
          <w:i/>
          <w:sz w:val="20"/>
          <w:lang w:val="fr-FR"/>
        </w:rPr>
        <w:t>s</w:t>
      </w:r>
      <w:r w:rsidR="00677F4D">
        <w:rPr>
          <w:i/>
          <w:sz w:val="20"/>
          <w:vertAlign w:val="subscript"/>
          <w:lang w:val="fr-FR"/>
        </w:rPr>
        <w:t>a</w:t>
      </w:r>
      <w:r w:rsidR="00677F4D">
        <w:rPr>
          <w:sz w:val="20"/>
          <w:lang w:val="fr-FR"/>
        </w:rPr>
        <w:t xml:space="preserve">. Opět ale chyba úseku celé kalibrační závislosti může zkreslit velikost </w:t>
      </w:r>
      <w:r w:rsidR="00677F4D" w:rsidRPr="00677F4D">
        <w:rPr>
          <w:i/>
          <w:sz w:val="20"/>
          <w:lang w:val="fr-FR"/>
        </w:rPr>
        <w:t>LOD</w:t>
      </w:r>
      <w:r w:rsidR="00677F4D">
        <w:rPr>
          <w:sz w:val="20"/>
          <w:lang w:val="fr-FR"/>
        </w:rPr>
        <w:t xml:space="preserve">. </w:t>
      </w:r>
      <w:r w:rsidR="0037145A">
        <w:rPr>
          <w:sz w:val="20"/>
          <w:lang w:val="fr-FR"/>
        </w:rPr>
        <w:t xml:space="preserve">Proto volíme raději </w:t>
      </w:r>
      <w:r w:rsidR="0037145A">
        <w:rPr>
          <w:i/>
          <w:sz w:val="20"/>
          <w:lang w:val="fr-FR"/>
        </w:rPr>
        <w:t>s</w:t>
      </w:r>
      <w:r w:rsidR="0037145A">
        <w:rPr>
          <w:sz w:val="20"/>
          <w:lang w:val="fr-FR"/>
        </w:rPr>
        <w:t xml:space="preserve"> = </w:t>
      </w:r>
      <w:r w:rsidR="0037145A">
        <w:rPr>
          <w:i/>
          <w:sz w:val="20"/>
          <w:lang w:val="fr-FR"/>
        </w:rPr>
        <w:t>s</w:t>
      </w:r>
      <w:r w:rsidR="0037145A">
        <w:rPr>
          <w:i/>
          <w:sz w:val="20"/>
          <w:vertAlign w:val="subscript"/>
          <w:lang w:val="fr-FR"/>
        </w:rPr>
        <w:t>b</w:t>
      </w:r>
      <w:r w:rsidR="0037145A">
        <w:rPr>
          <w:sz w:val="20"/>
          <w:lang w:val="fr-FR"/>
        </w:rPr>
        <w:t xml:space="preserve">, kde </w:t>
      </w:r>
      <w:r w:rsidR="0037145A">
        <w:rPr>
          <w:i/>
          <w:sz w:val="20"/>
          <w:lang w:val="fr-FR"/>
        </w:rPr>
        <w:t>s</w:t>
      </w:r>
      <w:r w:rsidR="0037145A">
        <w:rPr>
          <w:i/>
          <w:sz w:val="20"/>
          <w:vertAlign w:val="subscript"/>
          <w:lang w:val="fr-FR"/>
        </w:rPr>
        <w:t>b</w:t>
      </w:r>
      <w:r w:rsidR="0037145A">
        <w:rPr>
          <w:sz w:val="20"/>
          <w:lang w:val="fr-FR"/>
        </w:rPr>
        <w:t xml:space="preserve"> je směrodatná odchylka deseti měření intenzity/výšky píku (nikoliv plochy!) blanku a </w:t>
      </w:r>
      <w:r w:rsidR="0037145A">
        <w:rPr>
          <w:i/>
          <w:sz w:val="20"/>
          <w:lang w:val="fr-FR"/>
        </w:rPr>
        <w:t>b</w:t>
      </w:r>
      <w:r w:rsidR="0037145A">
        <w:rPr>
          <w:sz w:val="20"/>
          <w:lang w:val="fr-FR"/>
        </w:rPr>
        <w:t xml:space="preserve"> je směrnice kalibrační přímky z výšek/intenzit píků pro </w:t>
      </w:r>
      <w:r w:rsidR="0037145A" w:rsidRPr="0037145A">
        <w:rPr>
          <w:b/>
          <w:sz w:val="20"/>
          <w:lang w:val="fr-FR"/>
        </w:rPr>
        <w:t>nízké</w:t>
      </w:r>
      <w:r w:rsidR="0037145A">
        <w:rPr>
          <w:sz w:val="20"/>
          <w:lang w:val="fr-FR"/>
        </w:rPr>
        <w:t xml:space="preserve"> koncentrace, je tedy zpravidla odlišná od směrnice </w:t>
      </w:r>
      <w:r w:rsidR="00787639">
        <w:rPr>
          <w:sz w:val="20"/>
          <w:lang w:val="fr-FR"/>
        </w:rPr>
        <w:t>běžně</w:t>
      </w:r>
      <w:r w:rsidR="0037145A">
        <w:rPr>
          <w:sz w:val="20"/>
          <w:lang w:val="fr-FR"/>
        </w:rPr>
        <w:t xml:space="preserve"> měřené a používané kalibrační přímky, která operuje s relativně vysokými koncentracemi.</w:t>
      </w:r>
    </w:p>
    <w:p w:rsidR="008D6855" w:rsidRPr="002A195E" w:rsidRDefault="008D6855" w:rsidP="00EF5695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2A195E" w:rsidRPr="002A195E" w:rsidRDefault="002A195E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155B5F" w:rsidRDefault="00155B5F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  <w:r w:rsidRPr="00155B5F">
        <w:rPr>
          <w:sz w:val="20"/>
        </w:rPr>
        <w:t>–</w:t>
      </w:r>
      <w:r>
        <w:rPr>
          <w:sz w:val="20"/>
        </w:rPr>
        <w:t xml:space="preserve"> d</w:t>
      </w:r>
      <w:r w:rsidR="00966E60" w:rsidRPr="00966E60">
        <w:rPr>
          <w:sz w:val="20"/>
        </w:rPr>
        <w:t>alší možností ur</w:t>
      </w:r>
      <w:r w:rsidR="00966E60" w:rsidRPr="00966E60">
        <w:rPr>
          <w:rFonts w:eastAsia="TimesNewRoman"/>
          <w:sz w:val="20"/>
        </w:rPr>
        <w:t>č</w:t>
      </w:r>
      <w:r w:rsidR="00966E60" w:rsidRPr="00966E60">
        <w:rPr>
          <w:sz w:val="20"/>
        </w:rPr>
        <w:t>ení meze detekce je metoda postupného z</w:t>
      </w:r>
      <w:r w:rsidR="00966E60" w:rsidRPr="00966E60">
        <w:rPr>
          <w:rFonts w:eastAsia="TimesNewRoman"/>
          <w:sz w:val="20"/>
        </w:rPr>
        <w:t>ř</w:t>
      </w:r>
      <w:r w:rsidR="00966E60" w:rsidRPr="00966E60">
        <w:rPr>
          <w:sz w:val="20"/>
        </w:rPr>
        <w:t>e</w:t>
      </w:r>
      <w:r w:rsidR="00966E60" w:rsidRPr="00966E60">
        <w:rPr>
          <w:rFonts w:eastAsia="TimesNewRoman"/>
          <w:sz w:val="20"/>
        </w:rPr>
        <w:t>ď</w:t>
      </w:r>
      <w:r w:rsidR="00966E60" w:rsidRPr="00966E60">
        <w:rPr>
          <w:sz w:val="20"/>
        </w:rPr>
        <w:t>ování</w:t>
      </w:r>
      <w:r>
        <w:rPr>
          <w:sz w:val="20"/>
        </w:rPr>
        <w:t>, viz Statistické vyhodnocení analytických výsledků a metod - kapitolka 3. Analytická charakterizace výsledků relativních metod.</w:t>
      </w:r>
    </w:p>
    <w:p w:rsidR="00155B5F" w:rsidRDefault="00155B5F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966E60" w:rsidRPr="00966E60" w:rsidRDefault="00966E60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966E60" w:rsidRDefault="00966E60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  <w:r w:rsidRPr="00966E60">
        <w:rPr>
          <w:b/>
          <w:bCs/>
          <w:sz w:val="20"/>
        </w:rPr>
        <w:t>Mez stanovitelnosti (limit kvantifikace</w:t>
      </w:r>
      <w:r w:rsidR="00155B5F">
        <w:rPr>
          <w:b/>
          <w:bCs/>
          <w:sz w:val="20"/>
        </w:rPr>
        <w:t>, LOQ</w:t>
      </w:r>
      <w:r w:rsidRPr="00966E60">
        <w:rPr>
          <w:b/>
          <w:bCs/>
          <w:sz w:val="20"/>
        </w:rPr>
        <w:t xml:space="preserve">) </w:t>
      </w:r>
      <w:r w:rsidRPr="00966E60">
        <w:rPr>
          <w:sz w:val="20"/>
        </w:rPr>
        <w:t xml:space="preserve">– </w:t>
      </w:r>
      <w:r w:rsidR="00155B5F">
        <w:rPr>
          <w:sz w:val="20"/>
        </w:rPr>
        <w:t xml:space="preserve">je definována jako nejnižší množství </w:t>
      </w:r>
      <w:proofErr w:type="spellStart"/>
      <w:r w:rsidR="00155B5F">
        <w:rPr>
          <w:sz w:val="20"/>
        </w:rPr>
        <w:t>analytu</w:t>
      </w:r>
      <w:proofErr w:type="spellEnd"/>
      <w:r w:rsidR="00155B5F">
        <w:rPr>
          <w:sz w:val="20"/>
        </w:rPr>
        <w:t xml:space="preserve">, které je možné danou metodou nejen detekovat, ale i stanovit. Na rozdíl od LOD se LOQ počítá jako desetinásobek </w:t>
      </w:r>
      <w:r w:rsidRPr="00966E60">
        <w:rPr>
          <w:sz w:val="20"/>
        </w:rPr>
        <w:t>sm</w:t>
      </w:r>
      <w:r w:rsidRPr="00966E60">
        <w:rPr>
          <w:rFonts w:eastAsia="TimesNewRoman"/>
          <w:sz w:val="20"/>
        </w:rPr>
        <w:t>ě</w:t>
      </w:r>
      <w:r w:rsidRPr="00966E60">
        <w:rPr>
          <w:sz w:val="20"/>
        </w:rPr>
        <w:t>rodatné odchylky š</w:t>
      </w:r>
      <w:r w:rsidR="00155B5F">
        <w:rPr>
          <w:sz w:val="20"/>
        </w:rPr>
        <w:t>umu.</w:t>
      </w:r>
    </w:p>
    <w:p w:rsidR="00966E60" w:rsidRDefault="00966E60" w:rsidP="00966E60">
      <w:pPr>
        <w:widowControl/>
        <w:autoSpaceDE w:val="0"/>
        <w:autoSpaceDN w:val="0"/>
        <w:adjustRightInd w:val="0"/>
        <w:spacing w:line="240" w:lineRule="auto"/>
        <w:rPr>
          <w:sz w:val="20"/>
        </w:rPr>
      </w:pPr>
    </w:p>
    <w:p w:rsidR="00966E60" w:rsidRDefault="00966E60" w:rsidP="00966E60">
      <w:pPr>
        <w:widowControl/>
        <w:autoSpaceDE w:val="0"/>
        <w:autoSpaceDN w:val="0"/>
        <w:adjustRightInd w:val="0"/>
        <w:spacing w:line="240" w:lineRule="auto"/>
        <w:rPr>
          <w:sz w:val="20"/>
        </w:rPr>
      </w:pPr>
    </w:p>
    <w:p w:rsidR="00EF5695" w:rsidRPr="00EF5695" w:rsidRDefault="008F4351" w:rsidP="00EF5695">
      <w:pPr>
        <w:pStyle w:val="Bezmezer"/>
        <w:tabs>
          <w:tab w:val="left" w:pos="900"/>
        </w:tabs>
        <w:spacing w:after="200"/>
        <w:ind w:left="360"/>
        <w:rPr>
          <w:rFonts w:ascii="Times New Roman" w:hAnsi="Times New Roman"/>
          <w:b/>
          <w:bCs/>
          <w:iCs/>
        </w:rPr>
      </w:pPr>
      <w:r w:rsidRPr="00966E60">
        <w:rPr>
          <w:rFonts w:ascii="Times New Roman" w:hAnsi="Times New Roman"/>
          <w:color w:val="FF0000"/>
          <w:sz w:val="20"/>
          <w:szCs w:val="20"/>
        </w:rPr>
        <w:br w:type="page"/>
      </w:r>
      <w:r w:rsidR="00EF5695">
        <w:rPr>
          <w:rFonts w:ascii="Times New Roman" w:hAnsi="Times New Roman"/>
          <w:b/>
          <w:bCs/>
          <w:iCs/>
        </w:rPr>
        <w:lastRenderedPageBreak/>
        <w:t>6</w:t>
      </w:r>
      <w:r w:rsidR="00EF5695" w:rsidRPr="00EF5695">
        <w:rPr>
          <w:rFonts w:ascii="Times New Roman" w:hAnsi="Times New Roman"/>
          <w:b/>
          <w:bCs/>
          <w:iCs/>
        </w:rPr>
        <w:t>.</w:t>
      </w:r>
      <w:r w:rsidR="00EF5695" w:rsidRPr="00EF5695">
        <w:rPr>
          <w:rFonts w:ascii="Times New Roman" w:hAnsi="Times New Roman"/>
          <w:b/>
          <w:bCs/>
          <w:iCs/>
        </w:rPr>
        <w:tab/>
        <w:t xml:space="preserve">Nefelometrie – úprava údajů </w:t>
      </w:r>
    </w:p>
    <w:p w:rsidR="008F4351" w:rsidRDefault="008F4351" w:rsidP="008F4351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8F4351" w:rsidRPr="008F4351" w:rsidRDefault="008F4351" w:rsidP="008F4351">
      <w:pPr>
        <w:spacing w:line="240" w:lineRule="auto"/>
        <w:ind w:left="1548" w:hanging="1191"/>
        <w:rPr>
          <w:sz w:val="20"/>
        </w:rPr>
      </w:pPr>
      <w:r w:rsidRPr="008F4351">
        <w:rPr>
          <w:sz w:val="20"/>
        </w:rPr>
        <w:t>Úloh</w:t>
      </w:r>
      <w:r>
        <w:rPr>
          <w:sz w:val="20"/>
        </w:rPr>
        <w:t>a</w:t>
      </w:r>
      <w:r w:rsidRPr="008F4351">
        <w:rPr>
          <w:sz w:val="20"/>
        </w:rPr>
        <w:t xml:space="preserve">: </w:t>
      </w:r>
      <w:proofErr w:type="gramStart"/>
      <w:r w:rsidRPr="008F4351">
        <w:rPr>
          <w:sz w:val="20"/>
        </w:rPr>
        <w:t>č.</w:t>
      </w:r>
      <w:r>
        <w:rPr>
          <w:sz w:val="20"/>
        </w:rPr>
        <w:t>11</w:t>
      </w:r>
      <w:proofErr w:type="gramEnd"/>
      <w:r w:rsidRPr="008F4351">
        <w:rPr>
          <w:sz w:val="20"/>
        </w:rPr>
        <w:t xml:space="preserve"> – Stanovení </w:t>
      </w:r>
      <w:r>
        <w:rPr>
          <w:sz w:val="20"/>
        </w:rPr>
        <w:t>chloridů pomocí nefelometrie</w:t>
      </w:r>
    </w:p>
    <w:p w:rsidR="008F4351" w:rsidRDefault="008F4351" w:rsidP="008F4351">
      <w:pPr>
        <w:spacing w:line="240" w:lineRule="auto"/>
        <w:ind w:left="1080" w:hanging="720"/>
        <w:rPr>
          <w:sz w:val="20"/>
        </w:rPr>
      </w:pPr>
    </w:p>
    <w:p w:rsidR="008F4351" w:rsidRDefault="008F4351" w:rsidP="008F4351">
      <w:pPr>
        <w:spacing w:line="240" w:lineRule="auto"/>
        <w:ind w:left="360"/>
        <w:rPr>
          <w:sz w:val="20"/>
        </w:rPr>
      </w:pPr>
      <w:r w:rsidRPr="008F4351">
        <w:rPr>
          <w:sz w:val="20"/>
        </w:rPr>
        <w:t>Obsah chlorid</w:t>
      </w:r>
      <w:r>
        <w:rPr>
          <w:sz w:val="20"/>
        </w:rPr>
        <w:t>ů</w:t>
      </w:r>
      <w:r w:rsidRPr="008F4351">
        <w:rPr>
          <w:sz w:val="20"/>
        </w:rPr>
        <w:t xml:space="preserve"> je d</w:t>
      </w:r>
      <w:r>
        <w:rPr>
          <w:sz w:val="20"/>
        </w:rPr>
        <w:t xml:space="preserve">ůležitý hlavně z hlediska </w:t>
      </w:r>
      <w:proofErr w:type="spellStart"/>
      <w:r>
        <w:rPr>
          <w:sz w:val="20"/>
        </w:rPr>
        <w:t>enviromentálního</w:t>
      </w:r>
      <w:proofErr w:type="spellEnd"/>
      <w:r>
        <w:rPr>
          <w:sz w:val="20"/>
        </w:rPr>
        <w:t xml:space="preserve">; jejich nejvyšší přístupný obsah v pitných </w:t>
      </w:r>
      <w:r w:rsidR="006A38BE">
        <w:rPr>
          <w:sz w:val="20"/>
        </w:rPr>
        <w:t>i</w:t>
      </w:r>
      <w:r>
        <w:rPr>
          <w:sz w:val="20"/>
        </w:rPr>
        <w:t> užitkových vodách je regulován řadou norem a vyhlášek:</w:t>
      </w:r>
    </w:p>
    <w:p w:rsidR="008F4351" w:rsidRPr="008F4351" w:rsidRDefault="008F4351" w:rsidP="008F4351">
      <w:pPr>
        <w:tabs>
          <w:tab w:val="left" w:pos="900"/>
        </w:tabs>
        <w:spacing w:line="240" w:lineRule="auto"/>
        <w:ind w:left="360"/>
        <w:rPr>
          <w:sz w:val="20"/>
          <w:vertAlign w:val="superscript"/>
        </w:rPr>
      </w:pPr>
      <w:r w:rsidRPr="008F4351">
        <w:rPr>
          <w:sz w:val="20"/>
        </w:rPr>
        <w:t>i)</w:t>
      </w:r>
      <w:r>
        <w:rPr>
          <w:sz w:val="20"/>
        </w:rPr>
        <w:t xml:space="preserve"> </w:t>
      </w:r>
      <w:r>
        <w:rPr>
          <w:sz w:val="20"/>
        </w:rPr>
        <w:tab/>
        <w:t>pitná a balená voda – MH 100 mg.l</w:t>
      </w:r>
      <w:r>
        <w:rPr>
          <w:sz w:val="20"/>
          <w:vertAlign w:val="superscript"/>
        </w:rPr>
        <w:t>-1</w:t>
      </w:r>
      <w:r>
        <w:rPr>
          <w:sz w:val="20"/>
        </w:rPr>
        <w:t>, NMH 250 mg.l</w:t>
      </w:r>
      <w:r>
        <w:rPr>
          <w:sz w:val="20"/>
          <w:vertAlign w:val="superscript"/>
        </w:rPr>
        <w:t>-1</w:t>
      </w:r>
    </w:p>
    <w:p w:rsidR="008F4351" w:rsidRDefault="008F4351" w:rsidP="008F4351">
      <w:pPr>
        <w:tabs>
          <w:tab w:val="left" w:pos="900"/>
        </w:tabs>
        <w:spacing w:line="240" w:lineRule="auto"/>
        <w:ind w:left="360"/>
        <w:rPr>
          <w:sz w:val="20"/>
        </w:rPr>
      </w:pPr>
      <w:proofErr w:type="spellStart"/>
      <w:r>
        <w:rPr>
          <w:sz w:val="20"/>
        </w:rPr>
        <w:t>ii</w:t>
      </w:r>
      <w:proofErr w:type="spellEnd"/>
      <w:r>
        <w:rPr>
          <w:sz w:val="20"/>
        </w:rPr>
        <w:t>)</w:t>
      </w:r>
      <w:r>
        <w:rPr>
          <w:sz w:val="20"/>
        </w:rPr>
        <w:tab/>
        <w:t>balená přírodní minerální voda – MH 500 mg.l</w:t>
      </w:r>
      <w:r>
        <w:rPr>
          <w:sz w:val="20"/>
          <w:vertAlign w:val="superscript"/>
        </w:rPr>
        <w:t>-1</w:t>
      </w:r>
    </w:p>
    <w:p w:rsidR="008F4351" w:rsidRDefault="008F4351" w:rsidP="006A38BE">
      <w:pPr>
        <w:numPr>
          <w:ilvl w:val="0"/>
          <w:numId w:val="16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 xml:space="preserve">balená kojenecká voda </w:t>
      </w:r>
      <w:r w:rsidR="006A38BE">
        <w:rPr>
          <w:sz w:val="20"/>
        </w:rPr>
        <w:t>–</w:t>
      </w:r>
      <w:r>
        <w:rPr>
          <w:sz w:val="20"/>
        </w:rPr>
        <w:t xml:space="preserve"> MH</w:t>
      </w:r>
      <w:r w:rsidR="006A38BE">
        <w:rPr>
          <w:sz w:val="20"/>
        </w:rPr>
        <w:t xml:space="preserve"> 100 mg.l</w:t>
      </w:r>
      <w:r w:rsidR="006A38BE">
        <w:rPr>
          <w:sz w:val="20"/>
          <w:vertAlign w:val="superscript"/>
        </w:rPr>
        <w:t>-1</w:t>
      </w:r>
    </w:p>
    <w:p w:rsidR="006A38BE" w:rsidRDefault="006A38BE" w:rsidP="006A38BE">
      <w:pPr>
        <w:numPr>
          <w:ilvl w:val="0"/>
          <w:numId w:val="16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>umělá koupaliště – MH 200 mg.l</w:t>
      </w:r>
      <w:r>
        <w:rPr>
          <w:sz w:val="20"/>
          <w:vertAlign w:val="superscript"/>
        </w:rPr>
        <w:t>-1</w:t>
      </w:r>
    </w:p>
    <w:p w:rsidR="006A38BE" w:rsidRDefault="006A38BE" w:rsidP="006A38BE">
      <w:pPr>
        <w:numPr>
          <w:ilvl w:val="0"/>
          <w:numId w:val="16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>plnící voda pro umělá koupaliště – MH 50 mg.l</w:t>
      </w:r>
      <w:r>
        <w:rPr>
          <w:sz w:val="20"/>
          <w:vertAlign w:val="superscript"/>
        </w:rPr>
        <w:t>-1</w:t>
      </w:r>
    </w:p>
    <w:p w:rsidR="00F63C50" w:rsidRDefault="00F63C50" w:rsidP="00F63C50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F63C50" w:rsidRDefault="00F63C50" w:rsidP="006A38BE">
      <w:pPr>
        <w:tabs>
          <w:tab w:val="left" w:pos="900"/>
        </w:tabs>
        <w:spacing w:line="240" w:lineRule="auto"/>
        <w:ind w:left="360"/>
        <w:rPr>
          <w:sz w:val="20"/>
          <w:lang w:val="fr-FR"/>
        </w:rPr>
      </w:pPr>
      <w:r w:rsidRPr="006F57B3">
        <w:rPr>
          <w:i/>
          <w:iCs/>
          <w:sz w:val="20"/>
          <w:lang w:val="fr-FR"/>
        </w:rPr>
        <w:t>kde</w:t>
      </w:r>
      <w:r w:rsidRPr="006F57B3">
        <w:rPr>
          <w:sz w:val="20"/>
          <w:lang w:val="fr-FR"/>
        </w:rPr>
        <w:t xml:space="preserve">: </w:t>
      </w:r>
      <w:r>
        <w:rPr>
          <w:sz w:val="20"/>
          <w:lang w:val="fr-FR"/>
        </w:rPr>
        <w:t>MH</w:t>
      </w:r>
      <w:r w:rsidRPr="006F57B3">
        <w:rPr>
          <w:sz w:val="20"/>
          <w:lang w:val="fr-FR"/>
        </w:rPr>
        <w:t xml:space="preserve"> je </w:t>
      </w:r>
      <w:r>
        <w:rPr>
          <w:sz w:val="20"/>
          <w:lang w:val="fr-FR"/>
        </w:rPr>
        <w:t>mezní hodnota a NMH je nejvyšší mezní hodnota.</w:t>
      </w:r>
    </w:p>
    <w:p w:rsidR="00F63C50" w:rsidRDefault="00F63C50" w:rsidP="006A38BE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F63C50" w:rsidRDefault="00F63C50" w:rsidP="006A38BE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A38BE" w:rsidRDefault="006A38BE" w:rsidP="006A38BE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Vyhlášky:</w:t>
      </w:r>
    </w:p>
    <w:p w:rsidR="006A38BE" w:rsidRDefault="006A38BE" w:rsidP="006A38BE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 xml:space="preserve">Vyhláška </w:t>
      </w:r>
      <w:proofErr w:type="spellStart"/>
      <w:r>
        <w:rPr>
          <w:sz w:val="20"/>
        </w:rPr>
        <w:t>MZ</w:t>
      </w:r>
      <w:r w:rsidR="001F59DD">
        <w:rPr>
          <w:sz w:val="20"/>
        </w:rPr>
        <w:t>e</w:t>
      </w:r>
      <w:proofErr w:type="spellEnd"/>
      <w:r>
        <w:rPr>
          <w:sz w:val="20"/>
        </w:rPr>
        <w:t xml:space="preserve"> ČR č. 376/200 Sb., kterou se stanoví požadavky na pitnou vodu a rozsah a četnost její kontroly. Sbírka zákonů 2000, částka </w:t>
      </w:r>
      <w:r w:rsidR="001F59DD">
        <w:rPr>
          <w:sz w:val="20"/>
        </w:rPr>
        <w:t>103, str. 4879.</w:t>
      </w:r>
    </w:p>
    <w:p w:rsidR="001F59DD" w:rsidRDefault="001F59DD" w:rsidP="006A38BE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Vyhláška Mze ČR č. 292/1997, kterou se stanoví požadavky na zdravotní nezávadnost balených vod a způsobu jejich úpravy. Sbírka zákonů 1997, částka 98, str. 5410.</w:t>
      </w:r>
    </w:p>
    <w:p w:rsidR="001F59DD" w:rsidRPr="001F59DD" w:rsidRDefault="001F59DD" w:rsidP="001F59DD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 xml:space="preserve">Vyhláška Mze ČR č. 464/2000, </w:t>
      </w:r>
      <w:r w:rsidRPr="001F59DD">
        <w:rPr>
          <w:sz w:val="20"/>
        </w:rPr>
        <w:t>kterou se stanoví hygienické požadavky na koupaliště,</w:t>
      </w:r>
      <w:r>
        <w:rPr>
          <w:sz w:val="20"/>
        </w:rPr>
        <w:t xml:space="preserve"> </w:t>
      </w:r>
      <w:r w:rsidRPr="001F59DD">
        <w:rPr>
          <w:sz w:val="20"/>
        </w:rPr>
        <w:t>sauny a hygienické limity venkovních hracích ploch</w:t>
      </w:r>
      <w:r>
        <w:rPr>
          <w:sz w:val="20"/>
        </w:rPr>
        <w:t>. Sbírka zákonů 2000, částka 132, str. 7214.</w:t>
      </w:r>
    </w:p>
    <w:p w:rsidR="006A38BE" w:rsidRDefault="006A38BE" w:rsidP="006A38BE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F63C50" w:rsidRDefault="00F63C50" w:rsidP="006A38BE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 xml:space="preserve">Samotné překročení </w:t>
      </w:r>
      <w:r w:rsidR="00383B97">
        <w:rPr>
          <w:sz w:val="20"/>
        </w:rPr>
        <w:t xml:space="preserve">NMH chloridů </w:t>
      </w:r>
      <w:r w:rsidR="009F3087">
        <w:rPr>
          <w:sz w:val="20"/>
        </w:rPr>
        <w:t>ne</w:t>
      </w:r>
      <w:r w:rsidR="00383B97">
        <w:rPr>
          <w:sz w:val="20"/>
        </w:rPr>
        <w:t>představuje zdravotní riziko, pouze dochází k ovlivnění organoleptických senzorů (jako chutě</w:t>
      </w:r>
      <w:r w:rsidR="008F5B08">
        <w:rPr>
          <w:sz w:val="20"/>
        </w:rPr>
        <w:t xml:space="preserve">) nebo </w:t>
      </w:r>
      <w:r w:rsidR="00383B97">
        <w:rPr>
          <w:sz w:val="20"/>
        </w:rPr>
        <w:t>u různých materiálů</w:t>
      </w:r>
      <w:r w:rsidR="008F5B08">
        <w:rPr>
          <w:sz w:val="20"/>
        </w:rPr>
        <w:t xml:space="preserve"> (např. potrubí)</w:t>
      </w:r>
      <w:r w:rsidR="00383B97">
        <w:rPr>
          <w:sz w:val="20"/>
        </w:rPr>
        <w:t xml:space="preserve"> může způsobit </w:t>
      </w:r>
      <w:r w:rsidR="008F5B08">
        <w:rPr>
          <w:sz w:val="20"/>
        </w:rPr>
        <w:t xml:space="preserve">jejich </w:t>
      </w:r>
      <w:r w:rsidR="00383B97">
        <w:rPr>
          <w:sz w:val="20"/>
        </w:rPr>
        <w:t>korozi.</w:t>
      </w:r>
    </w:p>
    <w:p w:rsidR="00383B97" w:rsidRDefault="00383B97" w:rsidP="006A38BE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383B97" w:rsidRDefault="008F5B08" w:rsidP="006A38BE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 xml:space="preserve">Samotné minerální prvky, </w:t>
      </w:r>
      <w:r w:rsidR="00383B97">
        <w:rPr>
          <w:sz w:val="20"/>
        </w:rPr>
        <w:t xml:space="preserve">obsažené ve vodě a následně sladu, se podílí na výstavbě tělesních tkání, přenosu nervových vzruchů, udržení </w:t>
      </w:r>
      <w:proofErr w:type="spellStart"/>
      <w:r w:rsidR="00383B97">
        <w:rPr>
          <w:sz w:val="20"/>
        </w:rPr>
        <w:t>acidobazick</w:t>
      </w:r>
      <w:r w:rsidR="00787639">
        <w:rPr>
          <w:sz w:val="20"/>
        </w:rPr>
        <w:t>é</w:t>
      </w:r>
      <w:proofErr w:type="spellEnd"/>
      <w:r w:rsidR="00787639">
        <w:rPr>
          <w:sz w:val="20"/>
        </w:rPr>
        <w:t xml:space="preserve"> rovnováhy a osmotického tlaku</w:t>
      </w:r>
      <w:r w:rsidR="00383B97">
        <w:rPr>
          <w:sz w:val="20"/>
        </w:rPr>
        <w:t xml:space="preserve"> </w:t>
      </w:r>
      <w:r>
        <w:rPr>
          <w:sz w:val="20"/>
        </w:rPr>
        <w:t>a</w:t>
      </w:r>
      <w:r w:rsidR="00505B07">
        <w:rPr>
          <w:sz w:val="20"/>
        </w:rPr>
        <w:t xml:space="preserve"> </w:t>
      </w:r>
      <w:r w:rsidR="00383B97">
        <w:rPr>
          <w:sz w:val="20"/>
        </w:rPr>
        <w:t>jsou součástí bílkovin, hormonů a enzymů. Podle skladby a jejich obsahu můžeme uvést, že 1</w:t>
      </w:r>
      <w:r w:rsidR="00787639">
        <w:rPr>
          <w:sz w:val="20"/>
        </w:rPr>
        <w:t>l</w:t>
      </w:r>
      <w:r w:rsidR="00383B97">
        <w:rPr>
          <w:sz w:val="20"/>
        </w:rPr>
        <w:t xml:space="preserve"> piva denně představuje doporučenou denní d</w:t>
      </w:r>
      <w:r w:rsidR="004F29E3">
        <w:rPr>
          <w:sz w:val="20"/>
        </w:rPr>
        <w:t>ávku stopových prvků a minerálů :o)</w:t>
      </w:r>
    </w:p>
    <w:p w:rsidR="00F63C50" w:rsidRDefault="00F63C50" w:rsidP="006A38BE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A38BE" w:rsidRPr="006A38BE" w:rsidRDefault="006A38BE" w:rsidP="006A38BE">
      <w:pPr>
        <w:tabs>
          <w:tab w:val="left" w:pos="900"/>
        </w:tabs>
        <w:spacing w:line="240" w:lineRule="auto"/>
        <w:ind w:left="360"/>
        <w:rPr>
          <w:sz w:val="20"/>
        </w:rPr>
      </w:pPr>
    </w:p>
    <w:sectPr w:rsidR="006A38BE" w:rsidRPr="006A38BE" w:rsidSect="00113387">
      <w:headerReference w:type="even" r:id="rId33"/>
      <w:headerReference w:type="default" r:id="rId34"/>
      <w:footerReference w:type="even" r:id="rId35"/>
      <w:footerReference w:type="default" r:id="rId3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CEF" w:rsidRDefault="007F7CEF">
      <w:r>
        <w:separator/>
      </w:r>
    </w:p>
  </w:endnote>
  <w:endnote w:type="continuationSeparator" w:id="0">
    <w:p w:rsidR="007F7CEF" w:rsidRDefault="007F7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87" w:rsidRDefault="00584404" w:rsidP="00CF3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308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3087" w:rsidRDefault="009F3087">
    <w:pPr>
      <w:pStyle w:val="Zpat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87" w:rsidRDefault="00584404" w:rsidP="00CF3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308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7639">
      <w:rPr>
        <w:rStyle w:val="slostrnky"/>
        <w:noProof/>
      </w:rPr>
      <w:t>1</w:t>
    </w:r>
    <w:r>
      <w:rPr>
        <w:rStyle w:val="slostrnky"/>
      </w:rPr>
      <w:fldChar w:fldCharType="end"/>
    </w:r>
  </w:p>
  <w:p w:rsidR="009F3087" w:rsidRDefault="009F3087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CEF" w:rsidRDefault="007F7CEF">
      <w:r>
        <w:separator/>
      </w:r>
    </w:p>
  </w:footnote>
  <w:footnote w:type="continuationSeparator" w:id="0">
    <w:p w:rsidR="007F7CEF" w:rsidRDefault="007F7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87" w:rsidRDefault="009F3087">
    <w:pPr>
      <w:pStyle w:val="Zhlav"/>
      <w:framePr w:wrap="around" w:vAnchor="text" w:hAnchor="margin" w:xAlign="right" w:y="1441"/>
      <w:rPr>
        <w:rStyle w:val="slostrnky"/>
      </w:rPr>
    </w:pPr>
  </w:p>
  <w:p w:rsidR="009F3087" w:rsidRDefault="009F3087">
    <w:pPr>
      <w:pStyle w:val="Zhlav"/>
      <w:tabs>
        <w:tab w:val="clear" w:pos="4536"/>
        <w:tab w:val="clear" w:pos="9072"/>
        <w:tab w:val="left" w:pos="6531"/>
      </w:tabs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87" w:rsidRDefault="009F3087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9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681"/>
      </w:pPr>
    </w:lvl>
  </w:abstractNum>
  <w:abstractNum w:abstractNumId="1">
    <w:nsid w:val="0E724B14"/>
    <w:multiLevelType w:val="hybridMultilevel"/>
    <w:tmpl w:val="1B1C82FE"/>
    <w:lvl w:ilvl="0" w:tplc="ED9E7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0B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CD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8B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A29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F8A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7CD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E8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0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036769"/>
    <w:multiLevelType w:val="hybridMultilevel"/>
    <w:tmpl w:val="E514E502"/>
    <w:lvl w:ilvl="0" w:tplc="24AC3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1A3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9E3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C2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968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34D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220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B8F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987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D4610D"/>
    <w:multiLevelType w:val="hybridMultilevel"/>
    <w:tmpl w:val="D8B8A3DE"/>
    <w:lvl w:ilvl="0" w:tplc="07B8738A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B6233A"/>
    <w:multiLevelType w:val="hybridMultilevel"/>
    <w:tmpl w:val="3C120CFC"/>
    <w:lvl w:ilvl="0" w:tplc="2AA8B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A36CCE"/>
    <w:multiLevelType w:val="multilevel"/>
    <w:tmpl w:val="C6FC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00B34"/>
    <w:multiLevelType w:val="hybridMultilevel"/>
    <w:tmpl w:val="CD361496"/>
    <w:lvl w:ilvl="0" w:tplc="B4C229CC">
      <w:start w:val="3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DF026F"/>
    <w:multiLevelType w:val="multilevel"/>
    <w:tmpl w:val="205CAEC4"/>
    <w:lvl w:ilvl="0">
      <w:start w:val="1"/>
      <w:numFmt w:val="lowerRoman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36143"/>
    <w:multiLevelType w:val="hybridMultilevel"/>
    <w:tmpl w:val="129EA79E"/>
    <w:lvl w:ilvl="0" w:tplc="F5382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8A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446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741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56B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5C8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ED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FC2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183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4653F83"/>
    <w:multiLevelType w:val="multilevel"/>
    <w:tmpl w:val="028026A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883B9B"/>
    <w:multiLevelType w:val="multilevel"/>
    <w:tmpl w:val="FB0A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F5B7A"/>
    <w:multiLevelType w:val="multilevel"/>
    <w:tmpl w:val="416C4B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241558"/>
    <w:multiLevelType w:val="multilevel"/>
    <w:tmpl w:val="17904D70"/>
    <w:lvl w:ilvl="0">
      <w:start w:val="1"/>
      <w:numFmt w:val="lowerRoman"/>
      <w:lvlText w:val="%1i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D85B38"/>
    <w:multiLevelType w:val="multilevel"/>
    <w:tmpl w:val="25467392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620077"/>
    <w:multiLevelType w:val="hybridMultilevel"/>
    <w:tmpl w:val="14660BA0"/>
    <w:lvl w:ilvl="0" w:tplc="2AA8B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A3F8B"/>
    <w:multiLevelType w:val="multilevel"/>
    <w:tmpl w:val="59B29126"/>
    <w:lvl w:ilvl="0">
      <w:start w:val="1"/>
      <w:numFmt w:val="none"/>
      <w:lvlText w:val="i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4029A9"/>
    <w:multiLevelType w:val="multilevel"/>
    <w:tmpl w:val="9CB0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460092"/>
    <w:multiLevelType w:val="hybridMultilevel"/>
    <w:tmpl w:val="34F6512E"/>
    <w:lvl w:ilvl="0" w:tplc="B3B81E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B404D98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C9B22B1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7FED0F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6E1B47"/>
    <w:multiLevelType w:val="multilevel"/>
    <w:tmpl w:val="F27C1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CA3085"/>
    <w:multiLevelType w:val="hybridMultilevel"/>
    <w:tmpl w:val="143A38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1"/>
  </w:num>
  <w:num w:numId="9">
    <w:abstractNumId w:val="15"/>
  </w:num>
  <w:num w:numId="10">
    <w:abstractNumId w:val="12"/>
  </w:num>
  <w:num w:numId="11">
    <w:abstractNumId w:val="7"/>
  </w:num>
  <w:num w:numId="12">
    <w:abstractNumId w:val="10"/>
  </w:num>
  <w:num w:numId="13">
    <w:abstractNumId w:val="5"/>
  </w:num>
  <w:num w:numId="14">
    <w:abstractNumId w:val="18"/>
  </w:num>
  <w:num w:numId="15">
    <w:abstractNumId w:val="14"/>
  </w:num>
  <w:num w:numId="16">
    <w:abstractNumId w:val="6"/>
  </w:num>
  <w:num w:numId="17">
    <w:abstractNumId w:val="8"/>
  </w:num>
  <w:num w:numId="18">
    <w:abstractNumId w:val="1"/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595"/>
    <w:rsid w:val="00021B36"/>
    <w:rsid w:val="000265BA"/>
    <w:rsid w:val="0003104D"/>
    <w:rsid w:val="00044A54"/>
    <w:rsid w:val="000539F3"/>
    <w:rsid w:val="00053C4D"/>
    <w:rsid w:val="0006367B"/>
    <w:rsid w:val="0006510E"/>
    <w:rsid w:val="000714FA"/>
    <w:rsid w:val="000904BA"/>
    <w:rsid w:val="000A3407"/>
    <w:rsid w:val="000B328B"/>
    <w:rsid w:val="000B5CA9"/>
    <w:rsid w:val="000C2758"/>
    <w:rsid w:val="000D00E6"/>
    <w:rsid w:val="000D4E6B"/>
    <w:rsid w:val="000F48CE"/>
    <w:rsid w:val="0010447E"/>
    <w:rsid w:val="00113241"/>
    <w:rsid w:val="00113387"/>
    <w:rsid w:val="00120EB2"/>
    <w:rsid w:val="001320BF"/>
    <w:rsid w:val="00142E4D"/>
    <w:rsid w:val="001430AB"/>
    <w:rsid w:val="00146B73"/>
    <w:rsid w:val="001544EA"/>
    <w:rsid w:val="00155B5F"/>
    <w:rsid w:val="00167EB1"/>
    <w:rsid w:val="00197E49"/>
    <w:rsid w:val="001A16CF"/>
    <w:rsid w:val="001C0C11"/>
    <w:rsid w:val="001C66DA"/>
    <w:rsid w:val="001D0ECB"/>
    <w:rsid w:val="001D37C7"/>
    <w:rsid w:val="001F1F07"/>
    <w:rsid w:val="001F3E8C"/>
    <w:rsid w:val="001F59DD"/>
    <w:rsid w:val="00203045"/>
    <w:rsid w:val="00203BBB"/>
    <w:rsid w:val="00204D9A"/>
    <w:rsid w:val="0020609F"/>
    <w:rsid w:val="002110C6"/>
    <w:rsid w:val="0021162B"/>
    <w:rsid w:val="0021192C"/>
    <w:rsid w:val="00215324"/>
    <w:rsid w:val="00220B79"/>
    <w:rsid w:val="00236356"/>
    <w:rsid w:val="00261A01"/>
    <w:rsid w:val="0026677E"/>
    <w:rsid w:val="00266F1C"/>
    <w:rsid w:val="002672E8"/>
    <w:rsid w:val="0028109F"/>
    <w:rsid w:val="002A195E"/>
    <w:rsid w:val="002A2667"/>
    <w:rsid w:val="002A6C8F"/>
    <w:rsid w:val="002C48CF"/>
    <w:rsid w:val="002C4D36"/>
    <w:rsid w:val="002C5C12"/>
    <w:rsid w:val="002D139C"/>
    <w:rsid w:val="002E656B"/>
    <w:rsid w:val="002F337C"/>
    <w:rsid w:val="00301BC0"/>
    <w:rsid w:val="00303908"/>
    <w:rsid w:val="00331A84"/>
    <w:rsid w:val="00347F9B"/>
    <w:rsid w:val="00352161"/>
    <w:rsid w:val="00352A8A"/>
    <w:rsid w:val="00355E32"/>
    <w:rsid w:val="00356BD5"/>
    <w:rsid w:val="003636ED"/>
    <w:rsid w:val="0037145A"/>
    <w:rsid w:val="0038282F"/>
    <w:rsid w:val="00383B97"/>
    <w:rsid w:val="003856E0"/>
    <w:rsid w:val="00390480"/>
    <w:rsid w:val="0039452C"/>
    <w:rsid w:val="00395F90"/>
    <w:rsid w:val="003A3A35"/>
    <w:rsid w:val="003B3EDA"/>
    <w:rsid w:val="003E3B2A"/>
    <w:rsid w:val="0040023D"/>
    <w:rsid w:val="00401BA0"/>
    <w:rsid w:val="0042285B"/>
    <w:rsid w:val="00425BED"/>
    <w:rsid w:val="00444BCC"/>
    <w:rsid w:val="00453ACE"/>
    <w:rsid w:val="00455588"/>
    <w:rsid w:val="00456904"/>
    <w:rsid w:val="00467B4D"/>
    <w:rsid w:val="004A3438"/>
    <w:rsid w:val="004A46B8"/>
    <w:rsid w:val="004B5791"/>
    <w:rsid w:val="004D0551"/>
    <w:rsid w:val="004F29E3"/>
    <w:rsid w:val="004F5031"/>
    <w:rsid w:val="005037D9"/>
    <w:rsid w:val="00505B07"/>
    <w:rsid w:val="0052683F"/>
    <w:rsid w:val="005279A7"/>
    <w:rsid w:val="005402A0"/>
    <w:rsid w:val="00543B6D"/>
    <w:rsid w:val="00543CA6"/>
    <w:rsid w:val="00544D14"/>
    <w:rsid w:val="0054540E"/>
    <w:rsid w:val="0055581A"/>
    <w:rsid w:val="00562947"/>
    <w:rsid w:val="005720B5"/>
    <w:rsid w:val="005729EC"/>
    <w:rsid w:val="005753E3"/>
    <w:rsid w:val="00584404"/>
    <w:rsid w:val="005A0E97"/>
    <w:rsid w:val="005A2E0E"/>
    <w:rsid w:val="005D445A"/>
    <w:rsid w:val="005F4CF5"/>
    <w:rsid w:val="005F5A73"/>
    <w:rsid w:val="00605512"/>
    <w:rsid w:val="00610E3D"/>
    <w:rsid w:val="00622B87"/>
    <w:rsid w:val="00623D91"/>
    <w:rsid w:val="006410E1"/>
    <w:rsid w:val="00643A0A"/>
    <w:rsid w:val="00647126"/>
    <w:rsid w:val="00650DD9"/>
    <w:rsid w:val="00664C7F"/>
    <w:rsid w:val="00666704"/>
    <w:rsid w:val="00667D51"/>
    <w:rsid w:val="006710BC"/>
    <w:rsid w:val="0067720A"/>
    <w:rsid w:val="00677F4D"/>
    <w:rsid w:val="006807B7"/>
    <w:rsid w:val="00681798"/>
    <w:rsid w:val="0068288D"/>
    <w:rsid w:val="00684E35"/>
    <w:rsid w:val="00686792"/>
    <w:rsid w:val="00697918"/>
    <w:rsid w:val="006A11CA"/>
    <w:rsid w:val="006A2FFD"/>
    <w:rsid w:val="006A38BE"/>
    <w:rsid w:val="006A5914"/>
    <w:rsid w:val="006B1DA1"/>
    <w:rsid w:val="006C4B6E"/>
    <w:rsid w:val="006C7154"/>
    <w:rsid w:val="006E3051"/>
    <w:rsid w:val="006F57B3"/>
    <w:rsid w:val="00702C99"/>
    <w:rsid w:val="00702E50"/>
    <w:rsid w:val="00702FE1"/>
    <w:rsid w:val="0070449F"/>
    <w:rsid w:val="00722B98"/>
    <w:rsid w:val="00724488"/>
    <w:rsid w:val="00732841"/>
    <w:rsid w:val="00761F8B"/>
    <w:rsid w:val="0077689A"/>
    <w:rsid w:val="0077704E"/>
    <w:rsid w:val="00787639"/>
    <w:rsid w:val="00792D5D"/>
    <w:rsid w:val="00796A3D"/>
    <w:rsid w:val="007A4C1D"/>
    <w:rsid w:val="007C0887"/>
    <w:rsid w:val="007C44FF"/>
    <w:rsid w:val="007D3079"/>
    <w:rsid w:val="007E5746"/>
    <w:rsid w:val="007F7CEF"/>
    <w:rsid w:val="00800F05"/>
    <w:rsid w:val="008059B3"/>
    <w:rsid w:val="008059EB"/>
    <w:rsid w:val="00805A33"/>
    <w:rsid w:val="00813776"/>
    <w:rsid w:val="00814B35"/>
    <w:rsid w:val="008303F5"/>
    <w:rsid w:val="00841208"/>
    <w:rsid w:val="00855A64"/>
    <w:rsid w:val="00863FA0"/>
    <w:rsid w:val="00873913"/>
    <w:rsid w:val="008807A5"/>
    <w:rsid w:val="00891C06"/>
    <w:rsid w:val="00893068"/>
    <w:rsid w:val="00896EF8"/>
    <w:rsid w:val="008A6525"/>
    <w:rsid w:val="008B26F2"/>
    <w:rsid w:val="008C7A73"/>
    <w:rsid w:val="008D0216"/>
    <w:rsid w:val="008D6855"/>
    <w:rsid w:val="008F4351"/>
    <w:rsid w:val="008F5B08"/>
    <w:rsid w:val="00900849"/>
    <w:rsid w:val="00922D62"/>
    <w:rsid w:val="00926189"/>
    <w:rsid w:val="00944E0F"/>
    <w:rsid w:val="009564DE"/>
    <w:rsid w:val="00966E60"/>
    <w:rsid w:val="00977127"/>
    <w:rsid w:val="00984D23"/>
    <w:rsid w:val="00994B50"/>
    <w:rsid w:val="0099740A"/>
    <w:rsid w:val="009B2602"/>
    <w:rsid w:val="009B3D6C"/>
    <w:rsid w:val="009B42C7"/>
    <w:rsid w:val="009C2050"/>
    <w:rsid w:val="009C798D"/>
    <w:rsid w:val="009D0C68"/>
    <w:rsid w:val="009D1518"/>
    <w:rsid w:val="009E21B8"/>
    <w:rsid w:val="009E294A"/>
    <w:rsid w:val="009E4271"/>
    <w:rsid w:val="009E7D59"/>
    <w:rsid w:val="009F1F33"/>
    <w:rsid w:val="009F2010"/>
    <w:rsid w:val="009F3087"/>
    <w:rsid w:val="009F39E8"/>
    <w:rsid w:val="009F4A13"/>
    <w:rsid w:val="00A0090B"/>
    <w:rsid w:val="00A00EF0"/>
    <w:rsid w:val="00A5211A"/>
    <w:rsid w:val="00A638A3"/>
    <w:rsid w:val="00A668F0"/>
    <w:rsid w:val="00A72701"/>
    <w:rsid w:val="00A75727"/>
    <w:rsid w:val="00A8294C"/>
    <w:rsid w:val="00A848C4"/>
    <w:rsid w:val="00AE784E"/>
    <w:rsid w:val="00B004E3"/>
    <w:rsid w:val="00B06295"/>
    <w:rsid w:val="00B14CF2"/>
    <w:rsid w:val="00B2131A"/>
    <w:rsid w:val="00B355E9"/>
    <w:rsid w:val="00B44377"/>
    <w:rsid w:val="00B53674"/>
    <w:rsid w:val="00B65A32"/>
    <w:rsid w:val="00B718EB"/>
    <w:rsid w:val="00B72E53"/>
    <w:rsid w:val="00B76CE4"/>
    <w:rsid w:val="00B771C0"/>
    <w:rsid w:val="00B81965"/>
    <w:rsid w:val="00B8226A"/>
    <w:rsid w:val="00B83F73"/>
    <w:rsid w:val="00B87BB2"/>
    <w:rsid w:val="00BA56D9"/>
    <w:rsid w:val="00BB3AB9"/>
    <w:rsid w:val="00BB7845"/>
    <w:rsid w:val="00BC594B"/>
    <w:rsid w:val="00C07313"/>
    <w:rsid w:val="00C073B3"/>
    <w:rsid w:val="00C15EF6"/>
    <w:rsid w:val="00C16709"/>
    <w:rsid w:val="00C21316"/>
    <w:rsid w:val="00C36D03"/>
    <w:rsid w:val="00C41555"/>
    <w:rsid w:val="00C5552D"/>
    <w:rsid w:val="00C84069"/>
    <w:rsid w:val="00C87E6F"/>
    <w:rsid w:val="00C958B5"/>
    <w:rsid w:val="00CA5F78"/>
    <w:rsid w:val="00CB15AC"/>
    <w:rsid w:val="00CB22C8"/>
    <w:rsid w:val="00CB3D73"/>
    <w:rsid w:val="00CE6F11"/>
    <w:rsid w:val="00CF3CE2"/>
    <w:rsid w:val="00D06CB6"/>
    <w:rsid w:val="00D10B9C"/>
    <w:rsid w:val="00D5592E"/>
    <w:rsid w:val="00D6231B"/>
    <w:rsid w:val="00D65704"/>
    <w:rsid w:val="00D91DC5"/>
    <w:rsid w:val="00DA2B54"/>
    <w:rsid w:val="00DA53B5"/>
    <w:rsid w:val="00DB7B57"/>
    <w:rsid w:val="00DD6404"/>
    <w:rsid w:val="00DE72EE"/>
    <w:rsid w:val="00E12F40"/>
    <w:rsid w:val="00E13B8B"/>
    <w:rsid w:val="00E212D1"/>
    <w:rsid w:val="00E35F78"/>
    <w:rsid w:val="00E37956"/>
    <w:rsid w:val="00E41DCB"/>
    <w:rsid w:val="00E666B8"/>
    <w:rsid w:val="00E72291"/>
    <w:rsid w:val="00E752ED"/>
    <w:rsid w:val="00EA3F72"/>
    <w:rsid w:val="00EA52C0"/>
    <w:rsid w:val="00EA7A18"/>
    <w:rsid w:val="00EB0256"/>
    <w:rsid w:val="00EB1A75"/>
    <w:rsid w:val="00EC00C7"/>
    <w:rsid w:val="00ED7DCA"/>
    <w:rsid w:val="00EE3209"/>
    <w:rsid w:val="00EF5695"/>
    <w:rsid w:val="00F03BB4"/>
    <w:rsid w:val="00F066D9"/>
    <w:rsid w:val="00F07DB4"/>
    <w:rsid w:val="00F21A29"/>
    <w:rsid w:val="00F31734"/>
    <w:rsid w:val="00F33E7E"/>
    <w:rsid w:val="00F34FEA"/>
    <w:rsid w:val="00F52595"/>
    <w:rsid w:val="00F52D96"/>
    <w:rsid w:val="00F61374"/>
    <w:rsid w:val="00F63C50"/>
    <w:rsid w:val="00F64D54"/>
    <w:rsid w:val="00F776E8"/>
    <w:rsid w:val="00F86E23"/>
    <w:rsid w:val="00F9390F"/>
    <w:rsid w:val="00FB5C3A"/>
    <w:rsid w:val="00FB6A5E"/>
    <w:rsid w:val="00FC5335"/>
    <w:rsid w:val="00FC6195"/>
    <w:rsid w:val="00FF0DF9"/>
    <w:rsid w:val="00FF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textbox inset="1.67639mm,.83819mm,1.67639mm,.83819mm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2595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52595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dp1cv">
    <w:name w:val="ndp1cv"/>
    <w:basedOn w:val="Normln"/>
    <w:next w:val="Normln"/>
    <w:rsid w:val="00F52595"/>
    <w:pPr>
      <w:widowControl/>
      <w:spacing w:before="120" w:line="240" w:lineRule="atLeast"/>
      <w:jc w:val="left"/>
    </w:pPr>
    <w:rPr>
      <w:i/>
      <w:caps/>
      <w:sz w:val="20"/>
    </w:rPr>
  </w:style>
  <w:style w:type="paragraph" w:styleId="Zpat">
    <w:name w:val="footer"/>
    <w:basedOn w:val="Normln"/>
    <w:rsid w:val="00F525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2595"/>
  </w:style>
  <w:style w:type="paragraph" w:styleId="Zhlav">
    <w:name w:val="header"/>
    <w:basedOn w:val="Normln"/>
    <w:rsid w:val="00F52595"/>
    <w:pPr>
      <w:tabs>
        <w:tab w:val="center" w:pos="4536"/>
        <w:tab w:val="right" w:pos="9072"/>
      </w:tabs>
    </w:pPr>
  </w:style>
  <w:style w:type="paragraph" w:styleId="Bezmezer">
    <w:name w:val="No Spacing"/>
    <w:qFormat/>
    <w:rsid w:val="00F52595"/>
    <w:rPr>
      <w:rFonts w:ascii="Calibri" w:eastAsia="Calibri" w:hAnsi="Calibri"/>
      <w:sz w:val="22"/>
      <w:szCs w:val="22"/>
      <w:lang w:eastAsia="en-US"/>
    </w:rPr>
  </w:style>
  <w:style w:type="paragraph" w:customStyle="1" w:styleId="Diplomka-ZakladniText">
    <w:name w:val="Diplomka-ZakladniText"/>
    <w:basedOn w:val="Normln"/>
    <w:semiHidden/>
    <w:rsid w:val="00142E4D"/>
    <w:pPr>
      <w:widowControl/>
      <w:suppressAutoHyphens/>
      <w:ind w:firstLine="709"/>
    </w:pPr>
    <w:rPr>
      <w:szCs w:val="24"/>
      <w:lang w:eastAsia="ar-SA"/>
    </w:rPr>
  </w:style>
  <w:style w:type="character" w:styleId="Odkaznakoment">
    <w:name w:val="annotation reference"/>
    <w:basedOn w:val="Standardnpsmoodstavce"/>
    <w:semiHidden/>
    <w:rsid w:val="00805A33"/>
    <w:rPr>
      <w:sz w:val="16"/>
      <w:szCs w:val="16"/>
    </w:rPr>
  </w:style>
  <w:style w:type="paragraph" w:styleId="Textkomente">
    <w:name w:val="annotation text"/>
    <w:basedOn w:val="Normln"/>
    <w:semiHidden/>
    <w:rsid w:val="00805A33"/>
    <w:rPr>
      <w:sz w:val="20"/>
    </w:rPr>
  </w:style>
  <w:style w:type="paragraph" w:styleId="Pedmtkomente">
    <w:name w:val="annotation subject"/>
    <w:basedOn w:val="Textkomente"/>
    <w:next w:val="Textkomente"/>
    <w:semiHidden/>
    <w:rsid w:val="00805A33"/>
    <w:rPr>
      <w:b/>
      <w:bCs/>
    </w:rPr>
  </w:style>
  <w:style w:type="paragraph" w:styleId="Textbubliny">
    <w:name w:val="Balloon Text"/>
    <w:basedOn w:val="Normln"/>
    <w:semiHidden/>
    <w:rsid w:val="00805A3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65A3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image" Target="media/image12.wmf"/><Relationship Id="rId36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1850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STATISTICKÉ VYHODNOCENÍ ANALYTICKÝCH VÝSLEDKŮ A METOD</vt:lpstr>
    </vt:vector>
  </TitlesOfParts>
  <Company/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STATISTICKÉ VYHODNOCENÍ ANALYTICKÝCH VÝSLEDKŮ A METOD</dc:title>
  <dc:creator>Blanka Hégrová</dc:creator>
  <cp:lastModifiedBy>Ales H</cp:lastModifiedBy>
  <cp:revision>4</cp:revision>
  <cp:lastPrinted>2013-01-30T08:27:00Z</cp:lastPrinted>
  <dcterms:created xsi:type="dcterms:W3CDTF">2017-02-20T06:58:00Z</dcterms:created>
  <dcterms:modified xsi:type="dcterms:W3CDTF">2019-02-22T13:03:00Z</dcterms:modified>
</cp:coreProperties>
</file>