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6441F" w14:textId="7DF6613C" w:rsidR="00A52E7D" w:rsidRDefault="001B5E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BC61D0">
        <w:rPr>
          <w:rFonts w:ascii="Arial" w:eastAsia="Arial" w:hAnsi="Arial" w:cs="Arial"/>
          <w:b/>
          <w:color w:val="000000"/>
          <w:sz w:val="28"/>
          <w:szCs w:val="28"/>
        </w:rPr>
        <w:t xml:space="preserve">Synthesis and </w:t>
      </w:r>
      <w:r w:rsidR="008E3D3C">
        <w:rPr>
          <w:rFonts w:ascii="Arial" w:eastAsia="Arial" w:hAnsi="Arial" w:cs="Arial"/>
          <w:b/>
          <w:color w:val="000000"/>
          <w:sz w:val="28"/>
          <w:szCs w:val="28"/>
        </w:rPr>
        <w:t>A</w:t>
      </w:r>
      <w:r w:rsidR="00BC61D0">
        <w:rPr>
          <w:rFonts w:ascii="Arial" w:eastAsia="Arial" w:hAnsi="Arial" w:cs="Arial"/>
          <w:b/>
          <w:color w:val="000000"/>
          <w:sz w:val="28"/>
          <w:szCs w:val="28"/>
        </w:rPr>
        <w:t xml:space="preserve">pplication of </w:t>
      </w:r>
      <w:r w:rsidR="008E3D3C">
        <w:rPr>
          <w:rFonts w:ascii="Arial" w:eastAsia="Arial" w:hAnsi="Arial" w:cs="Arial"/>
          <w:b/>
          <w:color w:val="000000"/>
          <w:sz w:val="28"/>
          <w:szCs w:val="28"/>
        </w:rPr>
        <w:t>U</w:t>
      </w:r>
      <w:r w:rsidR="00BC61D0">
        <w:rPr>
          <w:rFonts w:ascii="Arial" w:eastAsia="Arial" w:hAnsi="Arial" w:cs="Arial"/>
          <w:b/>
          <w:color w:val="000000"/>
          <w:sz w:val="28"/>
          <w:szCs w:val="28"/>
        </w:rPr>
        <w:t xml:space="preserve">nsubstituted </w:t>
      </w:r>
      <w:proofErr w:type="spellStart"/>
      <w:r w:rsidR="00BC61D0">
        <w:rPr>
          <w:rFonts w:ascii="Arial" w:eastAsia="Arial" w:hAnsi="Arial" w:cs="Arial"/>
          <w:b/>
          <w:color w:val="000000"/>
          <w:sz w:val="28"/>
          <w:szCs w:val="28"/>
        </w:rPr>
        <w:t>Bambus</w:t>
      </w:r>
      <w:proofErr w:type="spellEnd"/>
      <w:r w:rsidR="00BC61D0">
        <w:rPr>
          <w:rFonts w:ascii="Arial" w:eastAsia="Arial" w:hAnsi="Arial" w:cs="Arial"/>
          <w:b/>
          <w:color w:val="000000"/>
          <w:sz w:val="28"/>
          <w:szCs w:val="28"/>
        </w:rPr>
        <w:t>[n]</w:t>
      </w:r>
      <w:proofErr w:type="spellStart"/>
      <w:r w:rsidR="00BC61D0">
        <w:rPr>
          <w:rFonts w:ascii="Arial" w:eastAsia="Arial" w:hAnsi="Arial" w:cs="Arial"/>
          <w:b/>
          <w:color w:val="000000"/>
          <w:sz w:val="28"/>
          <w:szCs w:val="28"/>
        </w:rPr>
        <w:t>urils</w:t>
      </w:r>
      <w:proofErr w:type="spellEnd"/>
    </w:p>
    <w:p w14:paraId="71903DE3" w14:textId="77777777" w:rsidR="00A52E7D" w:rsidRPr="00BC61D0" w:rsidRDefault="00BC61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it-IT"/>
        </w:rPr>
      </w:pPr>
      <w:r w:rsidRPr="00BC61D0">
        <w:rPr>
          <w:rFonts w:ascii="Arial" w:eastAsia="Arial" w:hAnsi="Arial" w:cs="Arial"/>
          <w:i/>
          <w:color w:val="000000"/>
          <w:sz w:val="24"/>
          <w:szCs w:val="24"/>
          <w:u w:val="single"/>
          <w:lang w:val="it-IT"/>
        </w:rPr>
        <w:t>Jacopo Torrisi</w:t>
      </w:r>
      <w:r w:rsidRPr="00BC61D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,</w:t>
      </w:r>
      <w:r w:rsidRPr="00BC61D0">
        <w:rPr>
          <w:rFonts w:ascii="Arial" w:eastAsia="Arial" w:hAnsi="Arial" w:cs="Arial"/>
          <w:i/>
          <w:color w:val="000000"/>
          <w:sz w:val="24"/>
          <w:szCs w:val="24"/>
          <w:vertAlign w:val="superscript"/>
          <w:lang w:val="it-IT"/>
        </w:rPr>
        <w:t>1,2</w:t>
      </w:r>
      <w:r w:rsidRPr="00BC61D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 xml:space="preserve"> Pia Jurček,</w:t>
      </w:r>
      <w:r w:rsidRPr="00BC61D0">
        <w:rPr>
          <w:rFonts w:ascii="Arial" w:eastAsia="Arial" w:hAnsi="Arial" w:cs="Arial"/>
          <w:i/>
          <w:color w:val="000000"/>
          <w:sz w:val="24"/>
          <w:szCs w:val="24"/>
          <w:vertAlign w:val="superscript"/>
          <w:lang w:val="it-IT"/>
        </w:rPr>
        <w:t>1,2</w:t>
      </w:r>
      <w:r w:rsidRPr="00BC61D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 xml:space="preserve"> Vladimír Šindelář*</w:t>
      </w:r>
      <w:r w:rsidRPr="00BC61D0">
        <w:rPr>
          <w:rFonts w:ascii="Arial" w:eastAsia="Arial" w:hAnsi="Arial" w:cs="Arial"/>
          <w:i/>
          <w:color w:val="000000"/>
          <w:sz w:val="24"/>
          <w:szCs w:val="24"/>
          <w:vertAlign w:val="superscript"/>
          <w:lang w:val="it-IT"/>
        </w:rPr>
        <w:t>,1,2</w:t>
      </w:r>
    </w:p>
    <w:p w14:paraId="45A32B7F" w14:textId="77777777" w:rsidR="00A52E7D" w:rsidRDefault="00BC61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Department of Chemistry and </w:t>
      </w:r>
      <w:r>
        <w:rPr>
          <w:rFonts w:ascii="Arial" w:eastAsia="Arial" w:hAnsi="Arial" w:cs="Arial"/>
          <w:i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RECETOX, Faculty of Science, Masaryk University, </w:t>
      </w:r>
      <w:bookmarkStart w:id="0" w:name="_GoBack"/>
      <w:bookmarkEnd w:id="0"/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Kamenice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5, 625 00 Brno, Czech Republic, </w:t>
      </w:r>
    </w:p>
    <w:p w14:paraId="1FC86EB2" w14:textId="77777777" w:rsidR="00A52E7D" w:rsidRDefault="00E30F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hyperlink r:id="rId5">
        <w:r w:rsidR="00BC61D0">
          <w:rPr>
            <w:rFonts w:ascii="Arial" w:eastAsia="Arial" w:hAnsi="Arial" w:cs="Arial"/>
            <w:i/>
            <w:color w:val="000000"/>
            <w:sz w:val="24"/>
            <w:szCs w:val="24"/>
            <w:u w:val="single"/>
          </w:rPr>
          <w:t>jacopo.torrisi@mail.muni.cz</w:t>
        </w:r>
      </w:hyperlink>
    </w:p>
    <w:p w14:paraId="674B680C" w14:textId="77777777" w:rsidR="00A52E7D" w:rsidRDefault="00A52E7D"/>
    <w:p w14:paraId="52E375D7" w14:textId="77777777" w:rsidR="00A52E7D" w:rsidRDefault="00BC61D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Bambusurils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(BUs) are a family of macrocyclic anion receptors formed by four or six </w:t>
      </w:r>
      <w:proofErr w:type="spellStart"/>
      <w:r>
        <w:rPr>
          <w:rFonts w:ascii="Arial" w:eastAsia="Arial" w:hAnsi="Arial" w:cs="Arial"/>
          <w:sz w:val="24"/>
          <w:szCs w:val="24"/>
        </w:rPr>
        <w:t>glycoluril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units, presenting alternating conformations with two </w:t>
      </w:r>
      <w:proofErr w:type="spellStart"/>
      <w:r>
        <w:rPr>
          <w:rFonts w:ascii="Arial" w:eastAsia="Arial" w:hAnsi="Arial" w:cs="Arial"/>
          <w:sz w:val="24"/>
          <w:szCs w:val="24"/>
        </w:rPr>
        <w:t>methine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hydrogen atoms pointing towards the cavity and connected by methylene bridges. During the </w:t>
      </w:r>
      <w:proofErr w:type="spellStart"/>
      <w:r>
        <w:rPr>
          <w:rFonts w:ascii="Arial" w:eastAsia="Arial" w:hAnsi="Arial" w:cs="Arial"/>
          <w:sz w:val="24"/>
          <w:szCs w:val="24"/>
        </w:rPr>
        <w:t>macrocyclization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reaction, it is possible to form four- and six-membered rings, but only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</w:t>
      </w:r>
      <w:proofErr w:type="gramEnd"/>
      <w:r>
        <w:rPr>
          <w:rFonts w:ascii="Arial" w:eastAsia="Arial" w:hAnsi="Arial" w:cs="Arial"/>
          <w:sz w:val="24"/>
          <w:szCs w:val="24"/>
        </w:rPr>
        <w:t>6]</w:t>
      </w:r>
      <w:proofErr w:type="spellStart"/>
      <w:r>
        <w:rPr>
          <w:rFonts w:ascii="Arial" w:eastAsia="Arial" w:hAnsi="Arial" w:cs="Arial"/>
          <w:sz w:val="24"/>
          <w:szCs w:val="24"/>
        </w:rPr>
        <w:t>urils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can bind anions inside their cavities due to their size.</w:t>
      </w:r>
    </w:p>
    <w:p w14:paraId="7B2C9F01" w14:textId="4D52DA2B" w:rsidR="00A52E7D" w:rsidRDefault="00BC61D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 far, only a few examples of </w:t>
      </w:r>
      <w:proofErr w:type="spellStart"/>
      <w:r>
        <w:rPr>
          <w:rFonts w:ascii="Arial" w:eastAsia="Arial" w:hAnsi="Arial" w:cs="Arial"/>
          <w:sz w:val="24"/>
          <w:szCs w:val="24"/>
        </w:rPr>
        <w:t>enantiomerically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pure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</w:t>
      </w:r>
      <w:proofErr w:type="gramEnd"/>
      <w:r>
        <w:rPr>
          <w:rFonts w:ascii="Arial" w:eastAsia="Arial" w:hAnsi="Arial" w:cs="Arial"/>
          <w:sz w:val="24"/>
          <w:szCs w:val="24"/>
        </w:rPr>
        <w:t>6]</w:t>
      </w:r>
      <w:proofErr w:type="spellStart"/>
      <w:r>
        <w:rPr>
          <w:rFonts w:ascii="Arial" w:eastAsia="Arial" w:hAnsi="Arial" w:cs="Arial"/>
          <w:sz w:val="24"/>
          <w:szCs w:val="24"/>
        </w:rPr>
        <w:t>urils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have been reported.</w:t>
      </w:r>
      <w:r>
        <w:rPr>
          <w:rFonts w:ascii="Arial" w:eastAsia="Arial" w:hAnsi="Arial" w:cs="Arial"/>
          <w:sz w:val="24"/>
          <w:szCs w:val="24"/>
          <w:vertAlign w:val="superscript"/>
        </w:rPr>
        <w:t>1,2</w:t>
      </w:r>
      <w:r>
        <w:rPr>
          <w:rFonts w:ascii="Arial" w:eastAsia="Arial" w:hAnsi="Arial" w:cs="Arial"/>
          <w:sz w:val="24"/>
          <w:szCs w:val="24"/>
        </w:rPr>
        <w:t xml:space="preserve"> Here, we present two synthetic routes for the synthesis of </w:t>
      </w:r>
      <w:proofErr w:type="spellStart"/>
      <w:r>
        <w:rPr>
          <w:rFonts w:ascii="Arial" w:eastAsia="Arial" w:hAnsi="Arial" w:cs="Arial"/>
          <w:sz w:val="24"/>
          <w:szCs w:val="24"/>
        </w:rPr>
        <w:t>enantiomerically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pure </w:t>
      </w:r>
      <w:proofErr w:type="spell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[6]</w:t>
      </w:r>
      <w:proofErr w:type="spellStart"/>
      <w:r>
        <w:rPr>
          <w:rFonts w:ascii="Arial" w:eastAsia="Arial" w:hAnsi="Arial" w:cs="Arial"/>
          <w:sz w:val="24"/>
          <w:szCs w:val="24"/>
        </w:rPr>
        <w:t>urils</w:t>
      </w:r>
      <w:proofErr w:type="spellEnd"/>
      <w:r>
        <w:rPr>
          <w:rFonts w:ascii="Arial" w:eastAsia="Arial" w:hAnsi="Arial" w:cs="Arial"/>
          <w:sz w:val="24"/>
          <w:szCs w:val="24"/>
        </w:rPr>
        <w:t>. Both strategies employ the chiral auxiliary (</w:t>
      </w:r>
      <w:r w:rsidRPr="00122042">
        <w:rPr>
          <w:rFonts w:ascii="Arial" w:eastAsia="Arial" w:hAnsi="Arial" w:cs="Arial"/>
          <w:i/>
          <w:iCs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)-1-phenylethylamine.</w:t>
      </w:r>
      <w:r w:rsidR="008E3D3C">
        <w:rPr>
          <w:rFonts w:ascii="Arial" w:eastAsia="Arial" w:hAnsi="Arial" w:cs="Arial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9DCEAC3" w14:textId="61E9D404" w:rsidR="00A52E7D" w:rsidRDefault="00BC61D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the first route, </w:t>
      </w:r>
      <w:proofErr w:type="spellStart"/>
      <w:r>
        <w:rPr>
          <w:rFonts w:ascii="Arial" w:eastAsia="Arial" w:hAnsi="Arial" w:cs="Arial"/>
          <w:sz w:val="24"/>
          <w:szCs w:val="24"/>
        </w:rPr>
        <w:t>diastereomerically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pure </w:t>
      </w:r>
      <w:proofErr w:type="spellStart"/>
      <w:r>
        <w:rPr>
          <w:rFonts w:ascii="Arial" w:eastAsia="Arial" w:hAnsi="Arial" w:cs="Arial"/>
          <w:sz w:val="24"/>
          <w:szCs w:val="24"/>
        </w:rPr>
        <w:t>glycolurils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</w:t>
      </w:r>
      <w:r w:rsidR="00EE25FC">
        <w:rPr>
          <w:rFonts w:ascii="Arial" w:eastAsia="Arial" w:hAnsi="Arial" w:cs="Arial"/>
          <w:sz w:val="24"/>
          <w:szCs w:val="24"/>
        </w:rPr>
        <w:t xml:space="preserve">orthogonally protected </w:t>
      </w:r>
      <w:r>
        <w:rPr>
          <w:rFonts w:ascii="Arial" w:eastAsia="Arial" w:hAnsi="Arial" w:cs="Arial"/>
          <w:sz w:val="24"/>
          <w:szCs w:val="24"/>
        </w:rPr>
        <w:t xml:space="preserve">followed by </w:t>
      </w:r>
      <w:proofErr w:type="spellStart"/>
      <w:r>
        <w:rPr>
          <w:rFonts w:ascii="Arial" w:eastAsia="Arial" w:hAnsi="Arial" w:cs="Arial"/>
          <w:sz w:val="24"/>
          <w:szCs w:val="24"/>
        </w:rPr>
        <w:t>macrocyclization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yield </w:t>
      </w:r>
      <w:proofErr w:type="spellStart"/>
      <w:r>
        <w:rPr>
          <w:rFonts w:ascii="Arial" w:eastAsia="Arial" w:hAnsi="Arial" w:cs="Arial"/>
          <w:sz w:val="24"/>
          <w:szCs w:val="24"/>
        </w:rPr>
        <w:t>enantiomerically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pure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</w:t>
      </w:r>
      <w:proofErr w:type="gramEnd"/>
      <w:r>
        <w:rPr>
          <w:rFonts w:ascii="Arial" w:eastAsia="Arial" w:hAnsi="Arial" w:cs="Arial"/>
          <w:sz w:val="24"/>
          <w:szCs w:val="24"/>
        </w:rPr>
        <w:t>6]</w:t>
      </w:r>
      <w:proofErr w:type="spellStart"/>
      <w:r>
        <w:rPr>
          <w:rFonts w:ascii="Arial" w:eastAsia="Arial" w:hAnsi="Arial" w:cs="Arial"/>
          <w:sz w:val="24"/>
          <w:szCs w:val="24"/>
        </w:rPr>
        <w:t>urils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 w:rsidRPr="00E92586">
        <w:rPr>
          <w:rFonts w:ascii="Arial" w:eastAsia="Arial" w:hAnsi="Arial" w:cs="Arial"/>
          <w:b/>
          <w:sz w:val="24"/>
          <w:szCs w:val="24"/>
        </w:rPr>
        <w:t>BU3</w:t>
      </w:r>
      <w:r>
        <w:rPr>
          <w:rFonts w:ascii="Arial" w:eastAsia="Arial" w:hAnsi="Arial" w:cs="Arial"/>
          <w:sz w:val="24"/>
          <w:szCs w:val="24"/>
        </w:rPr>
        <w:t>). The second route involves post-</w:t>
      </w:r>
      <w:proofErr w:type="spellStart"/>
      <w:r>
        <w:rPr>
          <w:rFonts w:ascii="Arial" w:eastAsia="Arial" w:hAnsi="Arial" w:cs="Arial"/>
          <w:sz w:val="24"/>
          <w:szCs w:val="24"/>
        </w:rPr>
        <w:t>macrocyclization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modification of </w:t>
      </w:r>
      <w:proofErr w:type="spellStart"/>
      <w:r>
        <w:rPr>
          <w:rFonts w:ascii="Arial" w:eastAsia="Arial" w:hAnsi="Arial" w:cs="Arial"/>
          <w:sz w:val="24"/>
          <w:szCs w:val="24"/>
        </w:rPr>
        <w:t>diastereomerically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pure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</w:t>
      </w:r>
      <w:proofErr w:type="gramEnd"/>
      <w:r>
        <w:rPr>
          <w:rFonts w:ascii="Arial" w:eastAsia="Arial" w:hAnsi="Arial" w:cs="Arial"/>
          <w:sz w:val="24"/>
          <w:szCs w:val="24"/>
        </w:rPr>
        <w:t>6]</w:t>
      </w:r>
      <w:proofErr w:type="spellStart"/>
      <w:r>
        <w:rPr>
          <w:rFonts w:ascii="Arial" w:eastAsia="Arial" w:hAnsi="Arial" w:cs="Arial"/>
          <w:sz w:val="24"/>
          <w:szCs w:val="24"/>
        </w:rPr>
        <w:t>uril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EE25FC">
        <w:rPr>
          <w:rFonts w:ascii="Arial" w:eastAsia="Arial" w:hAnsi="Arial" w:cs="Arial"/>
          <w:sz w:val="24"/>
          <w:szCs w:val="24"/>
        </w:rPr>
        <w:t>(</w:t>
      </w:r>
      <w:r w:rsidRPr="00E92586">
        <w:rPr>
          <w:rFonts w:ascii="Arial" w:eastAsia="Arial" w:hAnsi="Arial" w:cs="Arial"/>
          <w:b/>
          <w:sz w:val="24"/>
          <w:szCs w:val="24"/>
        </w:rPr>
        <w:t>BU1</w:t>
      </w:r>
      <w:r w:rsidR="00EE25FC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where the (</w:t>
      </w:r>
      <w:r w:rsidRPr="00122042">
        <w:rPr>
          <w:rFonts w:ascii="Arial" w:eastAsia="Arial" w:hAnsi="Arial" w:cs="Arial"/>
          <w:i/>
          <w:iCs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)-1-phenylethyl groups are cleaved off to obtain unsubstituted </w:t>
      </w:r>
      <w:proofErr w:type="spell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[6]</w:t>
      </w:r>
      <w:proofErr w:type="spellStart"/>
      <w:r>
        <w:rPr>
          <w:rFonts w:ascii="Arial" w:eastAsia="Arial" w:hAnsi="Arial" w:cs="Arial"/>
          <w:sz w:val="24"/>
          <w:szCs w:val="24"/>
        </w:rPr>
        <w:t>uril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 w:rsidRPr="00E92586">
        <w:rPr>
          <w:rFonts w:ascii="Arial" w:eastAsia="Arial" w:hAnsi="Arial" w:cs="Arial"/>
          <w:b/>
          <w:sz w:val="24"/>
          <w:szCs w:val="24"/>
        </w:rPr>
        <w:t>BU2</w:t>
      </w:r>
      <w:r>
        <w:rPr>
          <w:rFonts w:ascii="Arial" w:eastAsia="Arial" w:hAnsi="Arial" w:cs="Arial"/>
          <w:sz w:val="24"/>
          <w:szCs w:val="24"/>
        </w:rPr>
        <w:t xml:space="preserve">), which serves as a key intermediate for further </w:t>
      </w:r>
      <w:proofErr w:type="spellStart"/>
      <w:r>
        <w:rPr>
          <w:rFonts w:ascii="Arial" w:eastAsia="Arial" w:hAnsi="Arial" w:cs="Arial"/>
          <w:sz w:val="24"/>
          <w:szCs w:val="24"/>
        </w:rPr>
        <w:t>functionalizations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successful synthesis of </w:t>
      </w:r>
      <w:proofErr w:type="spellStart"/>
      <w:r>
        <w:rPr>
          <w:rFonts w:ascii="Arial" w:eastAsia="Arial" w:hAnsi="Arial" w:cs="Arial"/>
          <w:sz w:val="24"/>
          <w:szCs w:val="24"/>
        </w:rPr>
        <w:t>enantiopure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bambus</w:t>
      </w:r>
      <w:proofErr w:type="spellEnd"/>
      <w:r>
        <w:rPr>
          <w:rFonts w:ascii="Arial" w:eastAsia="Arial" w:hAnsi="Arial" w:cs="Arial"/>
          <w:sz w:val="24"/>
          <w:szCs w:val="24"/>
        </w:rPr>
        <w:t>[</w:t>
      </w:r>
      <w:proofErr w:type="gramEnd"/>
      <w:r>
        <w:rPr>
          <w:rFonts w:ascii="Arial" w:eastAsia="Arial" w:hAnsi="Arial" w:cs="Arial"/>
          <w:sz w:val="24"/>
          <w:szCs w:val="24"/>
        </w:rPr>
        <w:t>6]</w:t>
      </w:r>
      <w:proofErr w:type="spellStart"/>
      <w:r>
        <w:rPr>
          <w:rFonts w:ascii="Arial" w:eastAsia="Arial" w:hAnsi="Arial" w:cs="Arial"/>
          <w:sz w:val="24"/>
          <w:szCs w:val="24"/>
        </w:rPr>
        <w:t>urils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opens up new possibilities for their applications in host-guest chemistry, molecular recognition, and transmembrane transport.</w:t>
      </w:r>
    </w:p>
    <w:p w14:paraId="2B272F5B" w14:textId="745AEBAF" w:rsidR="00A52E7D" w:rsidRDefault="00BC61D0" w:rsidP="00BC61D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Furthermore, considering their potential biological applications,</w:t>
      </w:r>
      <w:r w:rsidR="008E3D3C">
        <w:rPr>
          <w:rFonts w:ascii="Arial" w:eastAsia="Arial" w:hAnsi="Arial" w:cs="Arial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we aim to expand the family of transmembrane receptors based on </w:t>
      </w:r>
      <w:r w:rsidR="006F041B">
        <w:rPr>
          <w:rFonts w:ascii="Arial" w:eastAsia="Arial" w:hAnsi="Arial" w:cs="Arial"/>
          <w:sz w:val="24"/>
          <w:szCs w:val="24"/>
        </w:rPr>
        <w:t>post-</w:t>
      </w:r>
      <w:proofErr w:type="spellStart"/>
      <w:r w:rsidR="006F041B">
        <w:rPr>
          <w:rFonts w:ascii="Arial" w:eastAsia="Arial" w:hAnsi="Arial" w:cs="Arial"/>
          <w:sz w:val="24"/>
          <w:szCs w:val="24"/>
        </w:rPr>
        <w:t>macrocyclization</w:t>
      </w:r>
      <w:proofErr w:type="spellEnd"/>
      <w:r w:rsidR="006F041B">
        <w:rPr>
          <w:rFonts w:ascii="Arial" w:eastAsia="Arial" w:hAnsi="Arial" w:cs="Arial"/>
          <w:sz w:val="24"/>
          <w:szCs w:val="24"/>
        </w:rPr>
        <w:t xml:space="preserve"> modification o</w:t>
      </w:r>
      <w:r w:rsidR="00A42520">
        <w:rPr>
          <w:rFonts w:ascii="Arial" w:eastAsia="Arial" w:hAnsi="Arial" w:cs="Arial"/>
          <w:sz w:val="24"/>
          <w:szCs w:val="24"/>
        </w:rPr>
        <w:t xml:space="preserve">f </w:t>
      </w:r>
      <w:r w:rsidR="006F041B">
        <w:rPr>
          <w:rFonts w:ascii="Arial" w:eastAsia="Arial" w:hAnsi="Arial" w:cs="Arial"/>
          <w:sz w:val="24"/>
          <w:szCs w:val="24"/>
        </w:rPr>
        <w:t xml:space="preserve">BU2 aiming </w:t>
      </w:r>
      <w:r w:rsidR="00A42520"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 xml:space="preserve">formation of anionic channels. </w:t>
      </w:r>
    </w:p>
    <w:p w14:paraId="19507AEC" w14:textId="48B7C7B8" w:rsidR="00BC61D0" w:rsidRPr="00BC61D0" w:rsidRDefault="00122042" w:rsidP="00BC61D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E17A4F8" wp14:editId="0333A059">
            <wp:simplePos x="0" y="0"/>
            <wp:positionH relativeFrom="column">
              <wp:posOffset>-356450</wp:posOffset>
            </wp:positionH>
            <wp:positionV relativeFrom="paragraph">
              <wp:posOffset>68580</wp:posOffset>
            </wp:positionV>
            <wp:extent cx="6387340" cy="2787421"/>
            <wp:effectExtent l="0" t="0" r="0" b="0"/>
            <wp:wrapTight wrapText="bothSides">
              <wp:wrapPolygon edited="0">
                <wp:start x="5090" y="0"/>
                <wp:lineTo x="2770" y="1329"/>
                <wp:lineTo x="2513" y="1624"/>
                <wp:lineTo x="2577" y="2362"/>
                <wp:lineTo x="1933" y="2658"/>
                <wp:lineTo x="1933" y="4429"/>
                <wp:lineTo x="2319" y="4725"/>
                <wp:lineTo x="1289" y="5610"/>
                <wp:lineTo x="1417" y="6939"/>
                <wp:lineTo x="8698" y="7087"/>
                <wp:lineTo x="2641" y="9006"/>
                <wp:lineTo x="0" y="10187"/>
                <wp:lineTo x="0" y="12107"/>
                <wp:lineTo x="2255" y="14174"/>
                <wp:lineTo x="2577" y="14174"/>
                <wp:lineTo x="1675" y="14912"/>
                <wp:lineTo x="1611" y="15502"/>
                <wp:lineTo x="1933" y="16536"/>
                <wp:lineTo x="1868" y="17865"/>
                <wp:lineTo x="2126" y="18898"/>
                <wp:lineTo x="2448" y="18898"/>
                <wp:lineTo x="2448" y="20375"/>
                <wp:lineTo x="5347" y="21260"/>
                <wp:lineTo x="9600" y="21408"/>
                <wp:lineTo x="19199" y="21408"/>
                <wp:lineTo x="19135" y="21260"/>
                <wp:lineTo x="21261" y="20670"/>
                <wp:lineTo x="21518" y="19489"/>
                <wp:lineTo x="21454" y="18898"/>
                <wp:lineTo x="20488" y="16093"/>
                <wp:lineTo x="19650" y="14764"/>
                <wp:lineTo x="18877" y="14174"/>
                <wp:lineTo x="19135" y="14174"/>
                <wp:lineTo x="21390" y="12107"/>
                <wp:lineTo x="21518" y="11368"/>
                <wp:lineTo x="21518" y="10630"/>
                <wp:lineTo x="18941" y="9449"/>
                <wp:lineTo x="21261" y="7087"/>
                <wp:lineTo x="21518" y="6349"/>
                <wp:lineTo x="21518" y="5463"/>
                <wp:lineTo x="21067" y="4725"/>
                <wp:lineTo x="20810" y="3396"/>
                <wp:lineTo x="20552" y="2362"/>
                <wp:lineTo x="21196" y="1476"/>
                <wp:lineTo x="20810" y="0"/>
                <wp:lineTo x="7087" y="0"/>
                <wp:lineTo x="509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7340" cy="2787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61864F" w14:textId="422B9435" w:rsidR="00122042" w:rsidRDefault="00122042" w:rsidP="00122042">
      <w:pPr>
        <w:spacing w:after="0"/>
        <w:ind w:hanging="567"/>
        <w:jc w:val="center"/>
        <w:rPr>
          <w:rFonts w:ascii="Arial" w:eastAsia="Arial" w:hAnsi="Arial" w:cs="Arial"/>
          <w:sz w:val="23"/>
          <w:szCs w:val="23"/>
        </w:rPr>
      </w:pPr>
    </w:p>
    <w:p w14:paraId="1CE18189" w14:textId="77777777" w:rsidR="00122042" w:rsidRDefault="00122042" w:rsidP="00122042">
      <w:pPr>
        <w:spacing w:after="0"/>
        <w:ind w:hanging="567"/>
        <w:jc w:val="center"/>
        <w:rPr>
          <w:rFonts w:ascii="Arial" w:eastAsia="Arial" w:hAnsi="Arial" w:cs="Arial"/>
          <w:sz w:val="23"/>
          <w:szCs w:val="23"/>
        </w:rPr>
      </w:pPr>
    </w:p>
    <w:p w14:paraId="330DF428" w14:textId="77777777" w:rsidR="00122042" w:rsidRDefault="00122042" w:rsidP="00122042">
      <w:pPr>
        <w:pStyle w:val="Odstavecseseznamem"/>
        <w:numPr>
          <w:ilvl w:val="0"/>
          <w:numId w:val="1"/>
        </w:numPr>
        <w:ind w:left="0"/>
        <w:rPr>
          <w:rFonts w:ascii="Arial" w:eastAsia="Arial" w:hAnsi="Arial" w:cs="Arial"/>
          <w:sz w:val="23"/>
          <w:szCs w:val="23"/>
        </w:rPr>
      </w:pPr>
      <w:proofErr w:type="spellStart"/>
      <w:r w:rsidRPr="00BC61D0">
        <w:rPr>
          <w:rFonts w:ascii="Arial" w:eastAsia="Arial" w:hAnsi="Arial" w:cs="Arial"/>
          <w:sz w:val="23"/>
          <w:szCs w:val="23"/>
        </w:rPr>
        <w:t>Sokolov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 xml:space="preserve">, J.; </w:t>
      </w:r>
      <w:proofErr w:type="spellStart"/>
      <w:r w:rsidRPr="00BC61D0">
        <w:rPr>
          <w:rFonts w:ascii="Arial" w:eastAsia="Arial" w:hAnsi="Arial" w:cs="Arial"/>
          <w:sz w:val="23"/>
          <w:szCs w:val="23"/>
        </w:rPr>
        <w:t>Šindelář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 xml:space="preserve">, V. </w:t>
      </w:r>
      <w:r w:rsidRPr="00BC61D0">
        <w:rPr>
          <w:rFonts w:ascii="Arial" w:eastAsia="Arial" w:hAnsi="Arial" w:cs="Arial"/>
          <w:i/>
          <w:sz w:val="23"/>
          <w:szCs w:val="23"/>
        </w:rPr>
        <w:t>Chemistry-A European Journal</w:t>
      </w:r>
      <w:r w:rsidRPr="00BC61D0">
        <w:rPr>
          <w:rFonts w:ascii="Arial" w:eastAsia="Arial" w:hAnsi="Arial" w:cs="Arial"/>
          <w:sz w:val="23"/>
          <w:szCs w:val="23"/>
        </w:rPr>
        <w:t xml:space="preserve">, </w:t>
      </w:r>
      <w:r w:rsidRPr="00BC61D0">
        <w:rPr>
          <w:rFonts w:ascii="Arial" w:eastAsia="Arial" w:hAnsi="Arial" w:cs="Arial"/>
          <w:b/>
          <w:sz w:val="23"/>
          <w:szCs w:val="23"/>
        </w:rPr>
        <w:t>2018</w:t>
      </w:r>
      <w:r w:rsidRPr="00BC61D0">
        <w:rPr>
          <w:rFonts w:ascii="Arial" w:eastAsia="Arial" w:hAnsi="Arial" w:cs="Arial"/>
          <w:sz w:val="23"/>
          <w:szCs w:val="23"/>
        </w:rPr>
        <w:t xml:space="preserve">, </w:t>
      </w:r>
      <w:r w:rsidRPr="00BC61D0">
        <w:rPr>
          <w:rFonts w:ascii="Arial" w:eastAsia="Arial" w:hAnsi="Arial" w:cs="Arial"/>
          <w:i/>
          <w:sz w:val="23"/>
          <w:szCs w:val="23"/>
        </w:rPr>
        <w:t>58</w:t>
      </w:r>
      <w:r w:rsidRPr="00BC61D0">
        <w:rPr>
          <w:rFonts w:ascii="Arial" w:eastAsia="Arial" w:hAnsi="Arial" w:cs="Arial"/>
          <w:sz w:val="23"/>
          <w:szCs w:val="23"/>
        </w:rPr>
        <w:t>, 15482-15485.</w:t>
      </w:r>
    </w:p>
    <w:p w14:paraId="2CAB1103" w14:textId="77777777" w:rsidR="00122042" w:rsidRDefault="00122042" w:rsidP="00122042">
      <w:pPr>
        <w:pStyle w:val="Odstavecseseznamem"/>
        <w:numPr>
          <w:ilvl w:val="0"/>
          <w:numId w:val="1"/>
        </w:numPr>
        <w:ind w:left="0"/>
        <w:rPr>
          <w:rFonts w:ascii="Arial" w:eastAsia="Arial" w:hAnsi="Arial" w:cs="Arial"/>
          <w:sz w:val="23"/>
          <w:szCs w:val="23"/>
        </w:rPr>
      </w:pPr>
      <w:proofErr w:type="spellStart"/>
      <w:r w:rsidRPr="00BC61D0">
        <w:rPr>
          <w:rFonts w:ascii="Arial" w:eastAsia="Arial" w:hAnsi="Arial" w:cs="Arial"/>
          <w:sz w:val="23"/>
          <w:szCs w:val="23"/>
        </w:rPr>
        <w:t>Sokolov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 xml:space="preserve">, J.; </w:t>
      </w:r>
      <w:proofErr w:type="spellStart"/>
      <w:r w:rsidRPr="00BC61D0">
        <w:rPr>
          <w:rFonts w:ascii="Arial" w:eastAsia="Arial" w:hAnsi="Arial" w:cs="Arial"/>
          <w:sz w:val="23"/>
          <w:szCs w:val="23"/>
        </w:rPr>
        <w:t>Štefek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 xml:space="preserve">, A.; </w:t>
      </w:r>
      <w:proofErr w:type="spellStart"/>
      <w:r w:rsidRPr="00BC61D0">
        <w:rPr>
          <w:rFonts w:ascii="Arial" w:eastAsia="Arial" w:hAnsi="Arial" w:cs="Arial"/>
          <w:sz w:val="23"/>
          <w:szCs w:val="23"/>
        </w:rPr>
        <w:t>Šindelář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 xml:space="preserve">, V. </w:t>
      </w:r>
      <w:proofErr w:type="spellStart"/>
      <w:r w:rsidRPr="00BC61D0">
        <w:rPr>
          <w:rFonts w:ascii="Arial" w:eastAsia="Arial" w:hAnsi="Arial" w:cs="Arial"/>
          <w:i/>
          <w:sz w:val="23"/>
          <w:szCs w:val="23"/>
        </w:rPr>
        <w:t>ChemPlusChem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 xml:space="preserve">, </w:t>
      </w:r>
      <w:r w:rsidRPr="00BC61D0">
        <w:rPr>
          <w:rFonts w:ascii="Arial" w:eastAsia="Arial" w:hAnsi="Arial" w:cs="Arial"/>
          <w:b/>
          <w:sz w:val="23"/>
          <w:szCs w:val="23"/>
        </w:rPr>
        <w:t>2020</w:t>
      </w:r>
      <w:r w:rsidRPr="00BC61D0">
        <w:rPr>
          <w:rFonts w:ascii="Arial" w:eastAsia="Arial" w:hAnsi="Arial" w:cs="Arial"/>
          <w:sz w:val="23"/>
          <w:szCs w:val="23"/>
        </w:rPr>
        <w:t xml:space="preserve">, </w:t>
      </w:r>
      <w:r w:rsidRPr="00BC61D0">
        <w:rPr>
          <w:rFonts w:ascii="Arial" w:eastAsia="Arial" w:hAnsi="Arial" w:cs="Arial"/>
          <w:i/>
          <w:sz w:val="23"/>
          <w:szCs w:val="23"/>
        </w:rPr>
        <w:t>85</w:t>
      </w:r>
      <w:r w:rsidRPr="00BC61D0">
        <w:rPr>
          <w:rFonts w:ascii="Arial" w:eastAsia="Arial" w:hAnsi="Arial" w:cs="Arial"/>
          <w:sz w:val="23"/>
          <w:szCs w:val="23"/>
        </w:rPr>
        <w:t>, 1307-1314.</w:t>
      </w:r>
    </w:p>
    <w:p w14:paraId="5C21774B" w14:textId="4DD28B38" w:rsidR="00122042" w:rsidRDefault="00122042" w:rsidP="00122042">
      <w:pPr>
        <w:pStyle w:val="Odstavecseseznamem"/>
        <w:numPr>
          <w:ilvl w:val="0"/>
          <w:numId w:val="1"/>
        </w:numPr>
        <w:ind w:left="0"/>
        <w:rPr>
          <w:rFonts w:ascii="Arial" w:eastAsia="Arial" w:hAnsi="Arial" w:cs="Arial"/>
          <w:sz w:val="23"/>
          <w:szCs w:val="23"/>
        </w:rPr>
      </w:pPr>
      <w:proofErr w:type="spellStart"/>
      <w:r w:rsidRPr="008E3D3C">
        <w:rPr>
          <w:rFonts w:ascii="Arial" w:eastAsia="Arial" w:hAnsi="Arial" w:cs="Arial"/>
          <w:sz w:val="23"/>
          <w:szCs w:val="23"/>
        </w:rPr>
        <w:t>Sl</w:t>
      </w:r>
      <w:r>
        <w:rPr>
          <w:rFonts w:ascii="Arial" w:eastAsia="Arial" w:hAnsi="Arial" w:cs="Arial"/>
          <w:sz w:val="23"/>
          <w:szCs w:val="23"/>
        </w:rPr>
        <w:t>á</w:t>
      </w:r>
      <w:r w:rsidRPr="008E3D3C">
        <w:rPr>
          <w:rFonts w:ascii="Arial" w:eastAsia="Arial" w:hAnsi="Arial" w:cs="Arial"/>
          <w:sz w:val="23"/>
          <w:szCs w:val="23"/>
        </w:rPr>
        <w:t>vik</w:t>
      </w:r>
      <w:proofErr w:type="spellEnd"/>
      <w:r w:rsidRPr="008E3D3C">
        <w:rPr>
          <w:rFonts w:ascii="Arial" w:eastAsia="Arial" w:hAnsi="Arial" w:cs="Arial"/>
          <w:sz w:val="23"/>
          <w:szCs w:val="23"/>
        </w:rPr>
        <w:t xml:space="preserve">, P.; </w:t>
      </w:r>
      <w:proofErr w:type="spellStart"/>
      <w:r w:rsidRPr="008E3D3C">
        <w:rPr>
          <w:rFonts w:ascii="Arial" w:eastAsia="Arial" w:hAnsi="Arial" w:cs="Arial"/>
          <w:sz w:val="23"/>
          <w:szCs w:val="23"/>
        </w:rPr>
        <w:t>Torrisi</w:t>
      </w:r>
      <w:proofErr w:type="spellEnd"/>
      <w:r w:rsidRPr="008E3D3C">
        <w:rPr>
          <w:rFonts w:ascii="Arial" w:eastAsia="Arial" w:hAnsi="Arial" w:cs="Arial"/>
          <w:sz w:val="23"/>
          <w:szCs w:val="23"/>
        </w:rPr>
        <w:t xml:space="preserve">, J; </w:t>
      </w:r>
      <w:proofErr w:type="spellStart"/>
      <w:r w:rsidRPr="008E3D3C">
        <w:rPr>
          <w:rFonts w:ascii="Arial" w:eastAsia="Arial" w:hAnsi="Arial" w:cs="Arial"/>
          <w:sz w:val="23"/>
          <w:szCs w:val="23"/>
        </w:rPr>
        <w:t>Jur</w:t>
      </w:r>
      <w:r>
        <w:rPr>
          <w:rFonts w:ascii="Arial" w:eastAsia="Arial" w:hAnsi="Arial" w:cs="Arial"/>
          <w:sz w:val="23"/>
          <w:szCs w:val="23"/>
          <w:lang w:val="cs-CZ"/>
        </w:rPr>
        <w:t>ček</w:t>
      </w:r>
      <w:proofErr w:type="spellEnd"/>
      <w:r>
        <w:rPr>
          <w:rFonts w:ascii="Arial" w:eastAsia="Arial" w:hAnsi="Arial" w:cs="Arial"/>
          <w:sz w:val="23"/>
          <w:szCs w:val="23"/>
          <w:lang w:val="cs-CZ"/>
        </w:rPr>
        <w:t>, P</w:t>
      </w:r>
      <w:r>
        <w:rPr>
          <w:rFonts w:ascii="Arial" w:eastAsia="Arial" w:hAnsi="Arial" w:cs="Arial"/>
          <w:sz w:val="23"/>
          <w:szCs w:val="23"/>
        </w:rPr>
        <w:t xml:space="preserve">; </w:t>
      </w:r>
      <w:proofErr w:type="spellStart"/>
      <w:r>
        <w:rPr>
          <w:rFonts w:ascii="Arial" w:eastAsia="Arial" w:hAnsi="Arial" w:cs="Arial"/>
          <w:sz w:val="23"/>
          <w:szCs w:val="23"/>
        </w:rPr>
        <w:t>Sokolov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, J; </w:t>
      </w:r>
      <w:proofErr w:type="spellStart"/>
      <w:r w:rsidRPr="00BC61D0">
        <w:rPr>
          <w:rFonts w:ascii="Arial" w:eastAsia="Arial" w:hAnsi="Arial" w:cs="Arial"/>
          <w:sz w:val="23"/>
          <w:szCs w:val="23"/>
        </w:rPr>
        <w:t>Šindelář</w:t>
      </w:r>
      <w:proofErr w:type="spellEnd"/>
      <w:r w:rsidRPr="00BC61D0">
        <w:rPr>
          <w:rFonts w:ascii="Arial" w:eastAsia="Arial" w:hAnsi="Arial" w:cs="Arial"/>
          <w:sz w:val="23"/>
          <w:szCs w:val="23"/>
        </w:rPr>
        <w:t>, V.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Pr="00122042">
        <w:rPr>
          <w:rFonts w:ascii="Arial" w:eastAsia="Arial" w:hAnsi="Arial" w:cs="Arial"/>
          <w:i/>
          <w:iCs/>
          <w:sz w:val="23"/>
          <w:szCs w:val="23"/>
        </w:rPr>
        <w:t>manuscript submitted</w:t>
      </w:r>
      <w:r>
        <w:rPr>
          <w:rFonts w:ascii="Arial" w:eastAsia="Arial" w:hAnsi="Arial" w:cs="Arial"/>
          <w:sz w:val="23"/>
          <w:szCs w:val="23"/>
        </w:rPr>
        <w:t>.</w:t>
      </w:r>
    </w:p>
    <w:p w14:paraId="0C460252" w14:textId="17256822" w:rsidR="00A52E7D" w:rsidRPr="00E92586" w:rsidRDefault="00122042" w:rsidP="00E92586">
      <w:pPr>
        <w:pStyle w:val="Odstavecseseznamem"/>
        <w:numPr>
          <w:ilvl w:val="0"/>
          <w:numId w:val="1"/>
        </w:numPr>
        <w:ind w:left="0"/>
        <w:rPr>
          <w:rFonts w:ascii="Arial" w:eastAsia="Arial" w:hAnsi="Arial" w:cs="Arial"/>
          <w:sz w:val="23"/>
          <w:szCs w:val="23"/>
        </w:rPr>
      </w:pPr>
      <w:r w:rsidRPr="001B5E32">
        <w:rPr>
          <w:rFonts w:ascii="Arial" w:eastAsia="Arial" w:hAnsi="Arial" w:cs="Arial"/>
          <w:sz w:val="23"/>
          <w:szCs w:val="23"/>
          <w:lang w:val="de-DE"/>
        </w:rPr>
        <w:t xml:space="preserve">Jentsch, T. J.; </w:t>
      </w:r>
      <w:proofErr w:type="spellStart"/>
      <w:r w:rsidRPr="001B5E32">
        <w:rPr>
          <w:rFonts w:ascii="Arial" w:eastAsia="Arial" w:hAnsi="Arial" w:cs="Arial"/>
          <w:sz w:val="23"/>
          <w:szCs w:val="23"/>
          <w:lang w:val="de-DE"/>
        </w:rPr>
        <w:t>Maritzen</w:t>
      </w:r>
      <w:proofErr w:type="spellEnd"/>
      <w:r w:rsidRPr="001B5E32">
        <w:rPr>
          <w:rFonts w:ascii="Arial" w:eastAsia="Arial" w:hAnsi="Arial" w:cs="Arial"/>
          <w:sz w:val="23"/>
          <w:szCs w:val="23"/>
          <w:lang w:val="de-DE"/>
        </w:rPr>
        <w:t xml:space="preserve">, T.; </w:t>
      </w:r>
      <w:proofErr w:type="spellStart"/>
      <w:r w:rsidRPr="001B5E32">
        <w:rPr>
          <w:rFonts w:ascii="Arial" w:eastAsia="Arial" w:hAnsi="Arial" w:cs="Arial"/>
          <w:sz w:val="23"/>
          <w:szCs w:val="23"/>
          <w:lang w:val="de-DE"/>
        </w:rPr>
        <w:t>Zdebik</w:t>
      </w:r>
      <w:proofErr w:type="spellEnd"/>
      <w:r w:rsidRPr="001B5E32">
        <w:rPr>
          <w:rFonts w:ascii="Arial" w:eastAsia="Arial" w:hAnsi="Arial" w:cs="Arial"/>
          <w:sz w:val="23"/>
          <w:szCs w:val="23"/>
          <w:lang w:val="de-DE"/>
        </w:rPr>
        <w:t xml:space="preserve">, A. A. </w:t>
      </w:r>
      <w:r w:rsidRPr="001B5E32">
        <w:rPr>
          <w:rFonts w:ascii="Arial" w:eastAsia="Arial" w:hAnsi="Arial" w:cs="Arial"/>
          <w:i/>
          <w:sz w:val="23"/>
          <w:szCs w:val="23"/>
          <w:lang w:val="de-DE"/>
        </w:rPr>
        <w:t xml:space="preserve">J. </w:t>
      </w:r>
      <w:proofErr w:type="spellStart"/>
      <w:r w:rsidRPr="001B5E32">
        <w:rPr>
          <w:rFonts w:ascii="Arial" w:eastAsia="Arial" w:hAnsi="Arial" w:cs="Arial"/>
          <w:i/>
          <w:sz w:val="23"/>
          <w:szCs w:val="23"/>
          <w:lang w:val="de-DE"/>
        </w:rPr>
        <w:t>Clin</w:t>
      </w:r>
      <w:proofErr w:type="spellEnd"/>
      <w:r w:rsidRPr="001B5E32">
        <w:rPr>
          <w:rFonts w:ascii="Arial" w:eastAsia="Arial" w:hAnsi="Arial" w:cs="Arial"/>
          <w:i/>
          <w:sz w:val="23"/>
          <w:szCs w:val="23"/>
          <w:lang w:val="de-DE"/>
        </w:rPr>
        <w:t xml:space="preserve">. </w:t>
      </w:r>
      <w:r w:rsidRPr="00C475EC">
        <w:rPr>
          <w:rFonts w:ascii="Arial" w:eastAsia="Arial" w:hAnsi="Arial" w:cs="Arial"/>
          <w:i/>
          <w:sz w:val="23"/>
          <w:szCs w:val="23"/>
        </w:rPr>
        <w:t>Invest.</w:t>
      </w:r>
      <w:r w:rsidRPr="00C475EC">
        <w:rPr>
          <w:rFonts w:ascii="Arial" w:eastAsia="Arial" w:hAnsi="Arial" w:cs="Arial"/>
          <w:sz w:val="23"/>
          <w:szCs w:val="23"/>
        </w:rPr>
        <w:t xml:space="preserve"> </w:t>
      </w:r>
      <w:r w:rsidRPr="00C475EC">
        <w:rPr>
          <w:rFonts w:ascii="Arial" w:eastAsia="Arial" w:hAnsi="Arial" w:cs="Arial"/>
          <w:b/>
          <w:sz w:val="23"/>
          <w:szCs w:val="23"/>
        </w:rPr>
        <w:t>2005</w:t>
      </w:r>
      <w:r w:rsidRPr="00C475EC">
        <w:rPr>
          <w:rFonts w:ascii="Arial" w:eastAsia="Arial" w:hAnsi="Arial" w:cs="Arial"/>
          <w:sz w:val="23"/>
          <w:szCs w:val="23"/>
        </w:rPr>
        <w:t xml:space="preserve">, </w:t>
      </w:r>
      <w:r w:rsidRPr="00C475EC">
        <w:rPr>
          <w:rFonts w:ascii="Arial" w:eastAsia="Arial" w:hAnsi="Arial" w:cs="Arial"/>
          <w:i/>
          <w:sz w:val="23"/>
          <w:szCs w:val="23"/>
        </w:rPr>
        <w:t>115</w:t>
      </w:r>
      <w:r w:rsidRPr="00C475EC">
        <w:rPr>
          <w:rFonts w:ascii="Arial" w:eastAsia="Arial" w:hAnsi="Arial" w:cs="Arial"/>
          <w:sz w:val="23"/>
          <w:szCs w:val="23"/>
        </w:rPr>
        <w:t>, 2039– 2046.</w:t>
      </w:r>
    </w:p>
    <w:sectPr w:rsidR="00A52E7D" w:rsidRPr="00E9258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A314" w16cex:dateUtc="2023-05-10T21:11:00Z"/>
  <w16cex:commentExtensible w16cex:durableId="28069DBE" w16cex:dateUtc="2023-05-10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73C60" w16cid:durableId="2806A314"/>
  <w16cid:commentId w16cid:paraId="14050845" w16cid:durableId="28069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51CF"/>
    <w:multiLevelType w:val="hybridMultilevel"/>
    <w:tmpl w:val="68EED06E"/>
    <w:lvl w:ilvl="0" w:tplc="0405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7D"/>
    <w:rsid w:val="00122042"/>
    <w:rsid w:val="001B5E32"/>
    <w:rsid w:val="00300CC5"/>
    <w:rsid w:val="006F041B"/>
    <w:rsid w:val="008E3D3C"/>
    <w:rsid w:val="00A42520"/>
    <w:rsid w:val="00A52E7D"/>
    <w:rsid w:val="00BC61D0"/>
    <w:rsid w:val="00C45D92"/>
    <w:rsid w:val="00C475EC"/>
    <w:rsid w:val="00E30F22"/>
    <w:rsid w:val="00E92586"/>
    <w:rsid w:val="00E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929E"/>
  <w15:docId w15:val="{8B8C1C73-5065-4F7D-83D9-FF99D56D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1B5E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47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5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75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5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0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2042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9258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copo.torrisi@mail.muni.cz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1863</Characters>
  <Application>Microsoft Office Word</Application>
  <DocSecurity>0</DocSecurity>
  <Lines>33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Jiří Pinkas</cp:lastModifiedBy>
  <cp:revision>2</cp:revision>
  <dcterms:created xsi:type="dcterms:W3CDTF">2023-05-11T09:16:00Z</dcterms:created>
  <dcterms:modified xsi:type="dcterms:W3CDTF">2023-05-11T09:16:00Z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34478041442e1b0d2a2d481a4ac14700f6d8d101a7337b367fc1e33c7d96fe07</vt:lpwstr>
  </property>
</Properties>
</file>